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936"/>
        <w:gridCol w:w="5229"/>
      </w:tblGrid>
      <w:tr w:rsidR="00B53264" w:rsidRPr="006E5717" w14:paraId="62CBA14B" w14:textId="77777777" w:rsidTr="001D7BCD">
        <w:trPr>
          <w:trHeight w:val="3969"/>
        </w:trPr>
        <w:tc>
          <w:tcPr>
            <w:tcW w:w="3936" w:type="dxa"/>
            <w:shd w:val="clear" w:color="auto" w:fill="auto"/>
          </w:tcPr>
          <w:p w14:paraId="0FA783B6" w14:textId="77777777" w:rsidR="00B53264" w:rsidRPr="00300CDF" w:rsidRDefault="006652C9" w:rsidP="006652C9">
            <w:pPr>
              <w:jc w:val="left"/>
              <w:rPr>
                <w:szCs w:val="20"/>
              </w:rPr>
            </w:pPr>
            <w:r>
              <w:rPr>
                <w:noProof/>
                <w:szCs w:val="20"/>
                <w:lang w:val="tr-TR" w:eastAsia="tr-TR"/>
              </w:rPr>
              <w:drawing>
                <wp:inline distT="0" distB="0" distL="0" distR="0" wp14:anchorId="3E83C727" wp14:editId="607C016D">
                  <wp:extent cx="2292530" cy="2880000"/>
                  <wp:effectExtent l="0" t="0" r="0" b="0"/>
                  <wp:docPr id="2" name="Resim 2" descr="C:\Users\isahin\Desktop\Ismail Sahin\IJRES\IJRES kapak kit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hin\Desktop\Ismail Sahin\IJRES\IJRES kapak kitap.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530" cy="2880000"/>
                          </a:xfrm>
                          <a:prstGeom prst="rect">
                            <a:avLst/>
                          </a:prstGeom>
                          <a:noFill/>
                          <a:ln>
                            <a:noFill/>
                          </a:ln>
                        </pic:spPr>
                      </pic:pic>
                    </a:graphicData>
                  </a:graphic>
                </wp:inline>
              </w:drawing>
            </w:r>
          </w:p>
        </w:tc>
        <w:tc>
          <w:tcPr>
            <w:tcW w:w="5229" w:type="dxa"/>
            <w:shd w:val="clear" w:color="auto" w:fill="auto"/>
          </w:tcPr>
          <w:p w14:paraId="28748D13" w14:textId="77777777" w:rsidR="00B53264" w:rsidRPr="006E5717" w:rsidRDefault="000D34A4" w:rsidP="000D34A4">
            <w:pPr>
              <w:jc w:val="center"/>
            </w:pPr>
            <w:r>
              <w:object w:dxaOrig="7635" w:dyaOrig="1065" w14:anchorId="104F9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pt;height:31pt" o:ole="">
                  <v:imagedata r:id="rId8" o:title=""/>
                </v:shape>
                <o:OLEObject Type="Embed" ProgID="PBrush" ShapeID="_x0000_i1025" DrawAspect="Content" ObjectID="_1676380777" r:id="rId9"/>
              </w:object>
            </w:r>
          </w:p>
          <w:p w14:paraId="1A54CEF9" w14:textId="77777777" w:rsidR="00B53264" w:rsidRPr="000D34A4" w:rsidRDefault="00B53264" w:rsidP="00384F3E">
            <w:pPr>
              <w:jc w:val="left"/>
              <w:rPr>
                <w:b/>
                <w:szCs w:val="20"/>
              </w:rPr>
            </w:pPr>
          </w:p>
          <w:p w14:paraId="4294DB5B" w14:textId="77777777" w:rsidR="000D34A4" w:rsidRPr="000D34A4" w:rsidRDefault="000D34A4" w:rsidP="00384F3E">
            <w:pPr>
              <w:jc w:val="left"/>
              <w:rPr>
                <w:b/>
                <w:szCs w:val="20"/>
              </w:rPr>
            </w:pPr>
          </w:p>
          <w:p w14:paraId="63B01509" w14:textId="77777777" w:rsidR="00B53264" w:rsidRPr="006E5717" w:rsidRDefault="0054013C" w:rsidP="000D34A4">
            <w:pPr>
              <w:jc w:val="center"/>
              <w:rPr>
                <w:b/>
                <w:sz w:val="28"/>
              </w:rPr>
            </w:pPr>
            <w:hyperlink r:id="rId10" w:history="1">
              <w:r w:rsidR="00460DB5" w:rsidRPr="008B64DA">
                <w:rPr>
                  <w:rStyle w:val="Hyperlink"/>
                  <w:b/>
                  <w:sz w:val="28"/>
                </w:rPr>
                <w:t>www.ijres.net</w:t>
              </w:r>
            </w:hyperlink>
          </w:p>
          <w:p w14:paraId="7523F872" w14:textId="77777777" w:rsidR="00B53264" w:rsidRPr="000D34A4" w:rsidRDefault="00B53264" w:rsidP="00384F3E">
            <w:pPr>
              <w:jc w:val="left"/>
              <w:rPr>
                <w:b/>
                <w:szCs w:val="20"/>
              </w:rPr>
            </w:pPr>
          </w:p>
          <w:p w14:paraId="7FFF291E" w14:textId="77777777" w:rsidR="00B53264" w:rsidRPr="000D34A4" w:rsidRDefault="00B53264" w:rsidP="00384F3E">
            <w:pPr>
              <w:jc w:val="left"/>
              <w:rPr>
                <w:b/>
                <w:szCs w:val="20"/>
              </w:rPr>
            </w:pPr>
          </w:p>
          <w:p w14:paraId="67943874" w14:textId="1519C903" w:rsidR="00692CAC" w:rsidRPr="00692CAC" w:rsidRDefault="00692CAC" w:rsidP="00692CAC">
            <w:pPr>
              <w:rPr>
                <w:b/>
                <w:sz w:val="28"/>
              </w:rPr>
            </w:pPr>
            <w:r w:rsidRPr="00692CAC">
              <w:rPr>
                <w:b/>
                <w:sz w:val="28"/>
              </w:rPr>
              <w:t>Predicting success in a statistics course geared toward allied health students</w:t>
            </w:r>
          </w:p>
          <w:p w14:paraId="00411270" w14:textId="77777777" w:rsidR="00B53264" w:rsidRPr="006E5717" w:rsidRDefault="00B53264" w:rsidP="00384F3E">
            <w:pPr>
              <w:jc w:val="left"/>
            </w:pPr>
          </w:p>
          <w:p w14:paraId="5B6D0D5B" w14:textId="77777777" w:rsidR="00B53264" w:rsidRPr="006E5717" w:rsidRDefault="00B53264" w:rsidP="00384F3E">
            <w:pPr>
              <w:jc w:val="left"/>
            </w:pPr>
          </w:p>
          <w:p w14:paraId="01A63E85" w14:textId="218032DC" w:rsidR="000D34A4" w:rsidRPr="006E5717" w:rsidRDefault="006539B9" w:rsidP="000D34A4">
            <w:pPr>
              <w:jc w:val="left"/>
              <w:rPr>
                <w:b/>
                <w:vertAlign w:val="superscript"/>
              </w:rPr>
            </w:pPr>
            <w:r>
              <w:rPr>
                <w:b/>
              </w:rPr>
              <w:t>Keston G. Lindsay</w:t>
            </w:r>
          </w:p>
          <w:p w14:paraId="61B929BD" w14:textId="4E2BF850" w:rsidR="000D34A4" w:rsidRPr="006E5717" w:rsidRDefault="006539B9" w:rsidP="000D34A4">
            <w:pPr>
              <w:jc w:val="left"/>
              <w:rPr>
                <w:szCs w:val="20"/>
              </w:rPr>
            </w:pPr>
            <w:r>
              <w:rPr>
                <w:szCs w:val="20"/>
              </w:rPr>
              <w:t xml:space="preserve">University of Colorado </w:t>
            </w:r>
            <w:proofErr w:type="spellStart"/>
            <w:r>
              <w:rPr>
                <w:szCs w:val="20"/>
              </w:rPr>
              <w:t>Colorado</w:t>
            </w:r>
            <w:proofErr w:type="spellEnd"/>
            <w:r>
              <w:rPr>
                <w:szCs w:val="20"/>
              </w:rPr>
              <w:t xml:space="preserve"> Springs</w:t>
            </w:r>
          </w:p>
          <w:p w14:paraId="1D3176E2" w14:textId="77777777" w:rsidR="00B53264" w:rsidRPr="006E5717" w:rsidRDefault="00B53264" w:rsidP="00384F3E">
            <w:pPr>
              <w:jc w:val="left"/>
              <w:rPr>
                <w:szCs w:val="20"/>
              </w:rPr>
            </w:pPr>
          </w:p>
          <w:p w14:paraId="0DAA8C0E" w14:textId="77777777" w:rsidR="00B53264" w:rsidRPr="006E5717" w:rsidRDefault="00B53264" w:rsidP="006652C9">
            <w:pPr>
              <w:rPr>
                <w:b/>
                <w:sz w:val="28"/>
              </w:rPr>
            </w:pPr>
          </w:p>
        </w:tc>
      </w:tr>
      <w:tr w:rsidR="00B53264" w:rsidRPr="006E5717" w14:paraId="614BBAD9" w14:textId="77777777" w:rsidTr="00384F3E">
        <w:trPr>
          <w:trHeight w:val="2762"/>
        </w:trPr>
        <w:tc>
          <w:tcPr>
            <w:tcW w:w="9165" w:type="dxa"/>
            <w:gridSpan w:val="2"/>
            <w:shd w:val="clear" w:color="auto" w:fill="auto"/>
          </w:tcPr>
          <w:p w14:paraId="38F79A88" w14:textId="77777777" w:rsidR="00B53264" w:rsidRPr="006652C9" w:rsidRDefault="00B53264" w:rsidP="00384F3E">
            <w:pPr>
              <w:suppressAutoHyphens w:val="0"/>
              <w:autoSpaceDE w:val="0"/>
              <w:autoSpaceDN w:val="0"/>
              <w:adjustRightInd w:val="0"/>
              <w:jc w:val="left"/>
              <w:rPr>
                <w:rFonts w:eastAsia="Times New Roman" w:cs="Times New Roman"/>
                <w:b/>
                <w:bCs/>
                <w:szCs w:val="20"/>
                <w:lang w:eastAsia="tr-TR"/>
              </w:rPr>
            </w:pPr>
          </w:p>
          <w:p w14:paraId="0DF0168C" w14:textId="77777777" w:rsidR="00B53264" w:rsidRPr="006652C9" w:rsidRDefault="00B53264" w:rsidP="00384F3E">
            <w:pPr>
              <w:suppressAutoHyphens w:val="0"/>
              <w:autoSpaceDE w:val="0"/>
              <w:autoSpaceDN w:val="0"/>
              <w:adjustRightInd w:val="0"/>
              <w:jc w:val="left"/>
              <w:rPr>
                <w:rFonts w:eastAsia="Times New Roman" w:cs="Times New Roman"/>
                <w:b/>
                <w:bCs/>
                <w:szCs w:val="20"/>
                <w:lang w:eastAsia="tr-TR"/>
              </w:rPr>
            </w:pPr>
          </w:p>
          <w:p w14:paraId="4E9DA2BE" w14:textId="77777777" w:rsidR="00B53264" w:rsidRDefault="00B53264" w:rsidP="00384F3E">
            <w:pPr>
              <w:suppressAutoHyphens w:val="0"/>
              <w:autoSpaceDE w:val="0"/>
              <w:autoSpaceDN w:val="0"/>
              <w:adjustRightInd w:val="0"/>
              <w:jc w:val="left"/>
              <w:rPr>
                <w:rFonts w:eastAsia="Times New Roman" w:cs="Times New Roman"/>
                <w:b/>
                <w:bCs/>
                <w:szCs w:val="20"/>
                <w:lang w:eastAsia="tr-TR"/>
              </w:rPr>
            </w:pPr>
          </w:p>
          <w:p w14:paraId="10794179" w14:textId="77777777" w:rsidR="006652C9" w:rsidRPr="006652C9" w:rsidRDefault="006652C9" w:rsidP="00384F3E">
            <w:pPr>
              <w:suppressAutoHyphens w:val="0"/>
              <w:autoSpaceDE w:val="0"/>
              <w:autoSpaceDN w:val="0"/>
              <w:adjustRightInd w:val="0"/>
              <w:jc w:val="left"/>
              <w:rPr>
                <w:rFonts w:eastAsia="Times New Roman" w:cs="Times New Roman"/>
                <w:b/>
                <w:bCs/>
                <w:szCs w:val="20"/>
                <w:lang w:eastAsia="tr-TR"/>
              </w:rPr>
            </w:pPr>
          </w:p>
          <w:p w14:paraId="16D16865" w14:textId="77777777" w:rsidR="00B53264" w:rsidRPr="006652C9" w:rsidRDefault="00B53264" w:rsidP="00384F3E">
            <w:pPr>
              <w:suppressAutoHyphens w:val="0"/>
              <w:autoSpaceDE w:val="0"/>
              <w:autoSpaceDN w:val="0"/>
              <w:adjustRightInd w:val="0"/>
              <w:jc w:val="left"/>
              <w:rPr>
                <w:rFonts w:eastAsia="Times New Roman" w:cs="Times New Roman"/>
                <w:b/>
                <w:bCs/>
                <w:szCs w:val="20"/>
                <w:lang w:eastAsia="tr-TR"/>
              </w:rPr>
            </w:pPr>
          </w:p>
          <w:p w14:paraId="7A9EAF53" w14:textId="77777777" w:rsidR="00B53264" w:rsidRPr="006E5717" w:rsidRDefault="00B53264" w:rsidP="00384F3E">
            <w:pPr>
              <w:suppressAutoHyphens w:val="0"/>
              <w:autoSpaceDE w:val="0"/>
              <w:autoSpaceDN w:val="0"/>
              <w:adjustRightInd w:val="0"/>
              <w:jc w:val="left"/>
              <w:rPr>
                <w:rFonts w:eastAsia="Times New Roman" w:cs="Times New Roman"/>
                <w:b/>
                <w:bCs/>
                <w:sz w:val="24"/>
                <w:szCs w:val="20"/>
                <w:lang w:eastAsia="tr-TR"/>
              </w:rPr>
            </w:pPr>
            <w:r w:rsidRPr="006E5717">
              <w:rPr>
                <w:rFonts w:eastAsia="Times New Roman" w:cs="Times New Roman"/>
                <w:b/>
                <w:bCs/>
                <w:sz w:val="24"/>
                <w:szCs w:val="20"/>
                <w:lang w:eastAsia="tr-TR"/>
              </w:rPr>
              <w:t xml:space="preserve">To cite this article: </w:t>
            </w:r>
          </w:p>
          <w:p w14:paraId="34B8EBAE" w14:textId="77777777" w:rsidR="00B53264" w:rsidRPr="006652C9" w:rsidRDefault="00B53264" w:rsidP="00384F3E">
            <w:pPr>
              <w:suppressAutoHyphens w:val="0"/>
              <w:autoSpaceDE w:val="0"/>
              <w:autoSpaceDN w:val="0"/>
              <w:adjustRightInd w:val="0"/>
              <w:jc w:val="left"/>
              <w:rPr>
                <w:rFonts w:eastAsia="Times New Roman" w:cs="Times New Roman"/>
                <w:b/>
                <w:bCs/>
                <w:szCs w:val="20"/>
                <w:lang w:eastAsia="tr-TR"/>
              </w:rPr>
            </w:pPr>
          </w:p>
          <w:p w14:paraId="353634AC" w14:textId="3FBD65E9" w:rsidR="00B53264" w:rsidRPr="006E5717" w:rsidRDefault="006539B9" w:rsidP="00384F3E">
            <w:pPr>
              <w:suppressAutoHyphens w:val="0"/>
              <w:autoSpaceDE w:val="0"/>
              <w:autoSpaceDN w:val="0"/>
              <w:adjustRightInd w:val="0"/>
              <w:rPr>
                <w:rFonts w:eastAsia="Times New Roman" w:cs="Times New Roman"/>
                <w:sz w:val="24"/>
                <w:szCs w:val="20"/>
                <w:lang w:eastAsia="tr-TR"/>
              </w:rPr>
            </w:pPr>
            <w:r>
              <w:rPr>
                <w:rFonts w:eastAsia="Times New Roman" w:cs="Times New Roman"/>
                <w:sz w:val="24"/>
                <w:szCs w:val="20"/>
                <w:lang w:eastAsia="tr-TR"/>
              </w:rPr>
              <w:t>Lindsay, K.G.</w:t>
            </w:r>
            <w:r w:rsidR="00B53264" w:rsidRPr="006E5717">
              <w:rPr>
                <w:rFonts w:eastAsia="Times New Roman" w:cs="Times New Roman"/>
                <w:sz w:val="24"/>
                <w:szCs w:val="20"/>
                <w:lang w:eastAsia="tr-TR"/>
              </w:rPr>
              <w:t xml:space="preserve"> (</w:t>
            </w:r>
            <w:r>
              <w:rPr>
                <w:rFonts w:eastAsia="Times New Roman" w:cs="Times New Roman"/>
                <w:sz w:val="24"/>
                <w:szCs w:val="20"/>
                <w:lang w:eastAsia="tr-TR"/>
              </w:rPr>
              <w:t>2021</w:t>
            </w:r>
            <w:r w:rsidR="00B53264" w:rsidRPr="006E5717">
              <w:rPr>
                <w:rFonts w:eastAsia="Times New Roman" w:cs="Times New Roman"/>
                <w:sz w:val="24"/>
                <w:szCs w:val="20"/>
                <w:lang w:eastAsia="tr-TR"/>
              </w:rPr>
              <w:t xml:space="preserve">). </w:t>
            </w:r>
            <w:r w:rsidRPr="006539B9">
              <w:rPr>
                <w:rFonts w:eastAsia="Times New Roman" w:cs="Times New Roman"/>
                <w:sz w:val="24"/>
                <w:szCs w:val="20"/>
                <w:lang w:eastAsia="tr-TR"/>
              </w:rPr>
              <w:t>Predicting success in a statistics course geared toward allied health students</w:t>
            </w:r>
            <w:r w:rsidR="00B53264" w:rsidRPr="006E5717">
              <w:rPr>
                <w:rFonts w:eastAsia="Times New Roman" w:cs="Times New Roman"/>
                <w:sz w:val="24"/>
                <w:szCs w:val="20"/>
                <w:lang w:eastAsia="tr-TR"/>
              </w:rPr>
              <w:t xml:space="preserve">. </w:t>
            </w:r>
            <w:r w:rsidR="00460DB5" w:rsidRPr="00460DB5">
              <w:rPr>
                <w:rFonts w:eastAsia="Times New Roman" w:cs="Times New Roman"/>
                <w:i/>
                <w:sz w:val="24"/>
                <w:szCs w:val="20"/>
                <w:lang w:eastAsia="tr-TR"/>
              </w:rPr>
              <w:t>International Journal of Research in Education and Science (IJRES)</w:t>
            </w:r>
            <w:r w:rsidR="00B53264" w:rsidRPr="006E5717">
              <w:rPr>
                <w:rFonts w:eastAsia="Times New Roman" w:cs="Times New Roman"/>
                <w:i/>
                <w:sz w:val="24"/>
                <w:szCs w:val="20"/>
                <w:lang w:eastAsia="tr-TR"/>
              </w:rPr>
              <w:t xml:space="preserve">, </w:t>
            </w:r>
            <w:proofErr w:type="gramStart"/>
            <w:r w:rsidR="00B53264" w:rsidRPr="006E5717">
              <w:rPr>
                <w:rFonts w:eastAsia="Times New Roman" w:cs="Times New Roman"/>
                <w:i/>
                <w:sz w:val="24"/>
                <w:szCs w:val="20"/>
                <w:lang w:eastAsia="tr-TR"/>
              </w:rPr>
              <w:t>Vol</w:t>
            </w:r>
            <w:r w:rsidR="009F5356">
              <w:rPr>
                <w:rFonts w:eastAsia="Times New Roman" w:cs="Times New Roman"/>
                <w:sz w:val="24"/>
                <w:szCs w:val="20"/>
                <w:lang w:eastAsia="tr-TR"/>
              </w:rPr>
              <w:t>(</w:t>
            </w:r>
            <w:proofErr w:type="gramEnd"/>
            <w:r w:rsidR="009F5356">
              <w:rPr>
                <w:rFonts w:eastAsia="Times New Roman" w:cs="Times New Roman"/>
                <w:sz w:val="24"/>
                <w:szCs w:val="20"/>
                <w:lang w:eastAsia="tr-TR"/>
              </w:rPr>
              <w:t>No), Page X-</w:t>
            </w:r>
            <w:r w:rsidR="00460DB5">
              <w:rPr>
                <w:rFonts w:eastAsia="Times New Roman" w:cs="Times New Roman"/>
                <w:sz w:val="24"/>
                <w:szCs w:val="20"/>
                <w:lang w:eastAsia="tr-TR"/>
              </w:rPr>
              <w:t>Page Y.</w:t>
            </w:r>
          </w:p>
          <w:p w14:paraId="7B8F88BE" w14:textId="77777777" w:rsidR="00B53264" w:rsidRPr="006652C9" w:rsidRDefault="00B53264" w:rsidP="00384F3E">
            <w:pPr>
              <w:suppressAutoHyphens w:val="0"/>
              <w:autoSpaceDE w:val="0"/>
              <w:autoSpaceDN w:val="0"/>
              <w:adjustRightInd w:val="0"/>
              <w:jc w:val="left"/>
              <w:rPr>
                <w:rFonts w:eastAsia="Times New Roman" w:cs="Times New Roman"/>
                <w:szCs w:val="20"/>
                <w:lang w:eastAsia="tr-TR"/>
              </w:rPr>
            </w:pPr>
          </w:p>
          <w:p w14:paraId="4C7DCE32" w14:textId="77777777" w:rsidR="00B53264" w:rsidRPr="006652C9" w:rsidRDefault="00B53264" w:rsidP="00384F3E">
            <w:pPr>
              <w:suppressAutoHyphens w:val="0"/>
              <w:autoSpaceDE w:val="0"/>
              <w:autoSpaceDN w:val="0"/>
              <w:adjustRightInd w:val="0"/>
              <w:jc w:val="left"/>
              <w:rPr>
                <w:rFonts w:eastAsia="Times New Roman" w:cs="Times New Roman"/>
                <w:szCs w:val="20"/>
                <w:lang w:eastAsia="tr-TR"/>
              </w:rPr>
            </w:pPr>
          </w:p>
          <w:p w14:paraId="115C20AB" w14:textId="77777777" w:rsidR="00B53264" w:rsidRPr="006652C9" w:rsidRDefault="00B53264" w:rsidP="00384F3E">
            <w:pPr>
              <w:suppressAutoHyphens w:val="0"/>
              <w:autoSpaceDE w:val="0"/>
              <w:autoSpaceDN w:val="0"/>
              <w:adjustRightInd w:val="0"/>
              <w:jc w:val="left"/>
              <w:rPr>
                <w:rFonts w:eastAsia="Times New Roman" w:cs="Times New Roman"/>
                <w:szCs w:val="20"/>
                <w:lang w:eastAsia="tr-TR"/>
              </w:rPr>
            </w:pPr>
          </w:p>
          <w:p w14:paraId="165E050F" w14:textId="77777777" w:rsidR="00B53264" w:rsidRPr="006652C9" w:rsidRDefault="00B53264" w:rsidP="00384F3E">
            <w:pPr>
              <w:suppressAutoHyphens w:val="0"/>
              <w:autoSpaceDE w:val="0"/>
              <w:autoSpaceDN w:val="0"/>
              <w:adjustRightInd w:val="0"/>
              <w:jc w:val="left"/>
              <w:rPr>
                <w:rFonts w:eastAsia="Times New Roman" w:cs="Times New Roman"/>
                <w:szCs w:val="20"/>
                <w:lang w:eastAsia="tr-TR"/>
              </w:rPr>
            </w:pPr>
          </w:p>
          <w:p w14:paraId="2FF4C81F" w14:textId="77777777" w:rsidR="00B53264" w:rsidRPr="006652C9" w:rsidRDefault="00B53264" w:rsidP="00384F3E">
            <w:pPr>
              <w:suppressAutoHyphens w:val="0"/>
              <w:autoSpaceDE w:val="0"/>
              <w:autoSpaceDN w:val="0"/>
              <w:adjustRightInd w:val="0"/>
              <w:jc w:val="left"/>
              <w:rPr>
                <w:rFonts w:eastAsia="Times New Roman" w:cs="Times New Roman"/>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B53264" w:rsidRPr="006E5717" w14:paraId="1FE284D6" w14:textId="77777777" w:rsidTr="005A1152">
              <w:trPr>
                <w:jc w:val="center"/>
              </w:trPr>
              <w:tc>
                <w:tcPr>
                  <w:tcW w:w="8934" w:type="dxa"/>
                  <w:shd w:val="clear" w:color="auto" w:fill="auto"/>
                </w:tcPr>
                <w:p w14:paraId="5CAE2587" w14:textId="77777777" w:rsidR="00B53264" w:rsidRPr="009A294D" w:rsidRDefault="005B5915" w:rsidP="005B5915">
                  <w:pPr>
                    <w:suppressAutoHyphens w:val="0"/>
                    <w:autoSpaceDE w:val="0"/>
                    <w:autoSpaceDN w:val="0"/>
                    <w:adjustRightInd w:val="0"/>
                    <w:rPr>
                      <w:szCs w:val="20"/>
                    </w:rPr>
                  </w:pPr>
                  <w:r w:rsidRPr="009A294D">
                    <w:rPr>
                      <w:szCs w:val="20"/>
                    </w:rPr>
                    <w:t>The International Journal of Research in Education and Science (IJRES) is a peer-reviewed scholarly online journal. This article may be used for research, teaching, and private study purposes. Authors alone are responsible for the contents of their articles.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 All authors are requested to disclose any actual or potential conflict of interest including any financial, personal or other relationships with other people or organizations regarding the submitted work</w:t>
                  </w:r>
                  <w:r w:rsidR="00B53264" w:rsidRPr="009A294D">
                    <w:rPr>
                      <w:szCs w:val="20"/>
                    </w:rPr>
                    <w:t>.</w:t>
                  </w:r>
                </w:p>
              </w:tc>
            </w:tr>
          </w:tbl>
          <w:p w14:paraId="500EC295" w14:textId="77777777" w:rsidR="00B53264" w:rsidRPr="006E5717" w:rsidRDefault="00B53264" w:rsidP="00384F3E">
            <w:pPr>
              <w:suppressAutoHyphens w:val="0"/>
              <w:autoSpaceDE w:val="0"/>
              <w:autoSpaceDN w:val="0"/>
              <w:adjustRightInd w:val="0"/>
              <w:jc w:val="left"/>
              <w:rPr>
                <w:b/>
                <w:sz w:val="28"/>
              </w:rPr>
            </w:pPr>
          </w:p>
        </w:tc>
      </w:tr>
    </w:tbl>
    <w:p w14:paraId="314C062D" w14:textId="77777777" w:rsidR="00B53264" w:rsidRPr="006E5717" w:rsidRDefault="00B53264" w:rsidP="00B53264">
      <w:pPr>
        <w:jc w:val="center"/>
        <w:rPr>
          <w:szCs w:val="20"/>
        </w:rPr>
      </w:pPr>
    </w:p>
    <w:p w14:paraId="4C95C30A" w14:textId="77777777" w:rsidR="00B53264" w:rsidRDefault="00B53264" w:rsidP="00B53264">
      <w:pPr>
        <w:jc w:val="center"/>
        <w:rPr>
          <w:b/>
          <w:sz w:val="28"/>
        </w:rPr>
      </w:pPr>
    </w:p>
    <w:p w14:paraId="2868368B" w14:textId="77777777" w:rsidR="00B53264" w:rsidRPr="00E5064C" w:rsidRDefault="00B53264" w:rsidP="00B53264">
      <w:pPr>
        <w:rPr>
          <w:sz w:val="28"/>
        </w:rPr>
      </w:pPr>
    </w:p>
    <w:p w14:paraId="41013927" w14:textId="77777777" w:rsidR="00B53264" w:rsidRPr="00E5064C" w:rsidRDefault="00B53264" w:rsidP="00B53264">
      <w:pPr>
        <w:rPr>
          <w:sz w:val="28"/>
        </w:rPr>
      </w:pPr>
    </w:p>
    <w:p w14:paraId="66FA7205" w14:textId="77777777" w:rsidR="00B53264" w:rsidRPr="00E5064C" w:rsidRDefault="00B53264" w:rsidP="00B53264">
      <w:pPr>
        <w:rPr>
          <w:sz w:val="28"/>
        </w:rPr>
        <w:sectPr w:rsidR="00B53264" w:rsidRPr="00E5064C" w:rsidSect="00B5326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5" w:h="16837" w:code="9"/>
          <w:pgMar w:top="1440" w:right="1440" w:bottom="1440" w:left="1440" w:header="709" w:footer="709" w:gutter="0"/>
          <w:cols w:space="708"/>
          <w:titlePg/>
          <w:docGrid w:linePitch="360"/>
        </w:sectPr>
      </w:pPr>
    </w:p>
    <w:p w14:paraId="6E7416C5" w14:textId="45640E6B" w:rsidR="00692CAC" w:rsidRPr="00692CAC" w:rsidRDefault="00692CAC" w:rsidP="00692CAC">
      <w:pPr>
        <w:rPr>
          <w:b/>
          <w:sz w:val="28"/>
        </w:rPr>
      </w:pPr>
      <w:r w:rsidRPr="00692CAC">
        <w:rPr>
          <w:b/>
          <w:sz w:val="28"/>
        </w:rPr>
        <w:lastRenderedPageBreak/>
        <w:t>Predicting success in a statistics course geared toward allied health students</w:t>
      </w:r>
    </w:p>
    <w:p w14:paraId="4568B55F" w14:textId="77777777" w:rsidR="00182E82" w:rsidRPr="006E5717" w:rsidRDefault="00182E82" w:rsidP="00182E82"/>
    <w:p w14:paraId="5D02DC72" w14:textId="293B07F7" w:rsidR="00182E82" w:rsidRPr="006E5717" w:rsidRDefault="00744B0F" w:rsidP="00182E82">
      <w:pPr>
        <w:jc w:val="center"/>
        <w:rPr>
          <w:b/>
          <w:vertAlign w:val="superscript"/>
        </w:rPr>
      </w:pPr>
      <w:r>
        <w:rPr>
          <w:b/>
        </w:rPr>
        <w:t>Keston G</w:t>
      </w:r>
      <w:r w:rsidR="000B4C9B">
        <w:rPr>
          <w:b/>
        </w:rPr>
        <w:t>.</w:t>
      </w:r>
      <w:r>
        <w:rPr>
          <w:b/>
        </w:rPr>
        <w:t xml:space="preserve"> Lindsay</w:t>
      </w:r>
    </w:p>
    <w:p w14:paraId="51CFE092" w14:textId="77777777" w:rsidR="00182E82" w:rsidRPr="006E5717" w:rsidRDefault="00182E82" w:rsidP="00182E82">
      <w:pPr>
        <w:jc w:val="center"/>
        <w:rPr>
          <w:szCs w:val="20"/>
        </w:rPr>
      </w:pPr>
    </w:p>
    <w:p w14:paraId="2EE7351B" w14:textId="77777777" w:rsidR="00182E82" w:rsidRPr="006E5717" w:rsidRDefault="00182E82" w:rsidP="00182E82">
      <w:pPr>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182E82" w:rsidRPr="00DC206E" w14:paraId="5B5B1A7B" w14:textId="77777777" w:rsidTr="00384F3E">
        <w:trPr>
          <w:jc w:val="center"/>
        </w:trPr>
        <w:tc>
          <w:tcPr>
            <w:tcW w:w="2093" w:type="dxa"/>
            <w:tcBorders>
              <w:bottom w:val="single" w:sz="4" w:space="0" w:color="auto"/>
            </w:tcBorders>
            <w:shd w:val="clear" w:color="auto" w:fill="auto"/>
          </w:tcPr>
          <w:p w14:paraId="76ED0E25" w14:textId="77777777" w:rsidR="00182E82" w:rsidRPr="00947D16" w:rsidRDefault="00182E82" w:rsidP="00384F3E">
            <w:pPr>
              <w:rPr>
                <w:b/>
                <w:sz w:val="24"/>
                <w:szCs w:val="24"/>
              </w:rPr>
            </w:pPr>
            <w:r w:rsidRPr="00947D16">
              <w:rPr>
                <w:b/>
                <w:sz w:val="24"/>
                <w:szCs w:val="24"/>
              </w:rPr>
              <w:t>Article Info</w:t>
            </w:r>
          </w:p>
        </w:tc>
        <w:tc>
          <w:tcPr>
            <w:tcW w:w="425" w:type="dxa"/>
          </w:tcPr>
          <w:p w14:paraId="7F448A43" w14:textId="77777777" w:rsidR="00182E82" w:rsidRPr="00947D16" w:rsidRDefault="00182E82" w:rsidP="00384F3E">
            <w:pPr>
              <w:ind w:left="-54"/>
              <w:rPr>
                <w:b/>
                <w:sz w:val="24"/>
                <w:szCs w:val="24"/>
              </w:rPr>
            </w:pPr>
          </w:p>
        </w:tc>
        <w:tc>
          <w:tcPr>
            <w:tcW w:w="6723" w:type="dxa"/>
            <w:tcBorders>
              <w:bottom w:val="single" w:sz="4" w:space="0" w:color="auto"/>
            </w:tcBorders>
            <w:shd w:val="clear" w:color="auto" w:fill="auto"/>
          </w:tcPr>
          <w:p w14:paraId="0379310B" w14:textId="77777777" w:rsidR="00182E82" w:rsidRPr="00947D16" w:rsidRDefault="00182E82" w:rsidP="00384F3E">
            <w:pPr>
              <w:ind w:left="-15"/>
              <w:rPr>
                <w:b/>
                <w:sz w:val="24"/>
                <w:szCs w:val="24"/>
              </w:rPr>
            </w:pPr>
            <w:r w:rsidRPr="00947D16">
              <w:rPr>
                <w:b/>
                <w:sz w:val="24"/>
                <w:szCs w:val="24"/>
              </w:rPr>
              <w:t>Abstract</w:t>
            </w:r>
          </w:p>
        </w:tc>
      </w:tr>
      <w:tr w:rsidR="00182E82" w:rsidRPr="00DC206E" w14:paraId="52179461" w14:textId="77777777" w:rsidTr="00384F3E">
        <w:trPr>
          <w:jc w:val="center"/>
        </w:trPr>
        <w:tc>
          <w:tcPr>
            <w:tcW w:w="2093" w:type="dxa"/>
            <w:tcBorders>
              <w:top w:val="single" w:sz="4" w:space="0" w:color="auto"/>
              <w:bottom w:val="nil"/>
            </w:tcBorders>
            <w:shd w:val="clear" w:color="auto" w:fill="auto"/>
          </w:tcPr>
          <w:p w14:paraId="5113D652" w14:textId="77777777" w:rsidR="00182E82" w:rsidRPr="00680F89" w:rsidRDefault="00182E82" w:rsidP="00384F3E">
            <w:pPr>
              <w:rPr>
                <w:b/>
                <w:i/>
                <w:szCs w:val="20"/>
              </w:rPr>
            </w:pPr>
            <w:r w:rsidRPr="00680F89">
              <w:rPr>
                <w:b/>
                <w:i/>
                <w:szCs w:val="20"/>
              </w:rPr>
              <w:t>Article History</w:t>
            </w:r>
          </w:p>
          <w:p w14:paraId="0111E860" w14:textId="77777777" w:rsidR="00182E82" w:rsidRPr="00BE1FB0" w:rsidRDefault="00182E82" w:rsidP="00384F3E">
            <w:pPr>
              <w:rPr>
                <w:sz w:val="16"/>
                <w:szCs w:val="16"/>
              </w:rPr>
            </w:pPr>
          </w:p>
          <w:p w14:paraId="270C6386" w14:textId="77777777" w:rsidR="00182E82" w:rsidRPr="00BE1FB0" w:rsidRDefault="00182E82" w:rsidP="00384F3E">
            <w:pPr>
              <w:rPr>
                <w:sz w:val="16"/>
                <w:szCs w:val="16"/>
              </w:rPr>
            </w:pPr>
            <w:r w:rsidRPr="00BE1FB0">
              <w:rPr>
                <w:sz w:val="16"/>
                <w:szCs w:val="16"/>
              </w:rPr>
              <w:t>Received:</w:t>
            </w:r>
          </w:p>
          <w:p w14:paraId="2152CB72" w14:textId="77777777" w:rsidR="00182E82" w:rsidRPr="00BE1FB0" w:rsidRDefault="00182E82" w:rsidP="00384F3E">
            <w:pPr>
              <w:jc w:val="left"/>
              <w:rPr>
                <w:sz w:val="16"/>
                <w:szCs w:val="16"/>
              </w:rPr>
            </w:pPr>
            <w:r w:rsidRPr="00BE1FB0">
              <w:rPr>
                <w:sz w:val="16"/>
                <w:szCs w:val="16"/>
                <w:highlight w:val="yellow"/>
              </w:rPr>
              <w:t>01 Month Year</w:t>
            </w:r>
          </w:p>
          <w:p w14:paraId="0053A980" w14:textId="77777777" w:rsidR="00182E82" w:rsidRPr="00BE1FB0" w:rsidRDefault="00182E82" w:rsidP="00384F3E">
            <w:pPr>
              <w:rPr>
                <w:sz w:val="16"/>
                <w:szCs w:val="16"/>
              </w:rPr>
            </w:pPr>
          </w:p>
        </w:tc>
        <w:tc>
          <w:tcPr>
            <w:tcW w:w="425" w:type="dxa"/>
          </w:tcPr>
          <w:p w14:paraId="249A3D80" w14:textId="77777777" w:rsidR="00182E82" w:rsidRPr="00DC206E" w:rsidRDefault="00182E82" w:rsidP="00384F3E">
            <w:pPr>
              <w:ind w:left="-54"/>
              <w:rPr>
                <w:szCs w:val="20"/>
              </w:rPr>
            </w:pPr>
          </w:p>
        </w:tc>
        <w:tc>
          <w:tcPr>
            <w:tcW w:w="6723" w:type="dxa"/>
            <w:vMerge w:val="restart"/>
            <w:tcBorders>
              <w:top w:val="single" w:sz="4" w:space="0" w:color="auto"/>
              <w:bottom w:val="single" w:sz="4" w:space="0" w:color="auto"/>
            </w:tcBorders>
            <w:shd w:val="clear" w:color="auto" w:fill="auto"/>
          </w:tcPr>
          <w:p w14:paraId="56CE82F8" w14:textId="0B054F17" w:rsidR="00692CAC" w:rsidRDefault="00692CAC" w:rsidP="00692CAC">
            <w:r>
              <w:t xml:space="preserve">Statistics education is an important component of allied health education.  </w:t>
            </w:r>
            <w:commentRangeStart w:id="0"/>
            <w:r w:rsidR="00A33BF6" w:rsidRPr="00A40974">
              <w:t>Although success in statistics courses has been reported for students in fields such as business, nursing and psychology, there is a dearth of literature in students of other</w:t>
            </w:r>
            <w:r w:rsidR="00744B0F" w:rsidRPr="00A40974">
              <w:t xml:space="preserve"> allied </w:t>
            </w:r>
            <w:r w:rsidR="00A33BF6" w:rsidRPr="00A40974">
              <w:t xml:space="preserve">health science disciplines. As statistics is a gatekeeper course for many of these disciplines, understanding and addressing demographic predictors of success is a crucial step in helping to maintain a diverse healthcare workforce. </w:t>
            </w:r>
            <w:commentRangeEnd w:id="0"/>
            <w:r w:rsidR="00A40974">
              <w:rPr>
                <w:rStyle w:val="CommentReference"/>
              </w:rPr>
              <w:commentReference w:id="0"/>
            </w:r>
            <w:r w:rsidRPr="00A40974">
              <w:t>In this study, ethnicity, gender, their interaction, age, and class format were</w:t>
            </w:r>
            <w:r>
              <w:t xml:space="preserve"> use</w:t>
            </w:r>
            <w:r w:rsidR="00FE3C60">
              <w:t>d</w:t>
            </w:r>
            <w:r>
              <w:t xml:space="preserve"> to predict 953 success outcomes in a retrospective dataset, with major being used as a random effect.  Ethnicity alone predicted success, with students of other ethnicities having 0.6 times the odds of success as their Caucasian counterparts.  As statistics is a potential gatekeeper course for success in health professions programs, academic instructors, </w:t>
            </w:r>
            <w:proofErr w:type="gramStart"/>
            <w:r>
              <w:t>administrators</w:t>
            </w:r>
            <w:proofErr w:type="gramEnd"/>
            <w:r>
              <w:t xml:space="preserve"> and other stakeholders should take steps to ascertain the incidence and nature of disparities in their settings, a</w:t>
            </w:r>
            <w:r w:rsidRPr="00BA44CD">
              <w:t xml:space="preserve">s </w:t>
            </w:r>
            <w:r>
              <w:t xml:space="preserve">it may play a role in maintaining a </w:t>
            </w:r>
            <w:r w:rsidRPr="00BA44CD">
              <w:t>diverse healthcare workforce</w:t>
            </w:r>
            <w:r>
              <w:t>.</w:t>
            </w:r>
          </w:p>
          <w:p w14:paraId="4C3616DA" w14:textId="2CDDDF5B" w:rsidR="00182E82" w:rsidRPr="003D5CC6" w:rsidRDefault="00182E82" w:rsidP="00384F3E">
            <w:pPr>
              <w:ind w:left="-15"/>
              <w:rPr>
                <w:szCs w:val="20"/>
              </w:rPr>
            </w:pPr>
          </w:p>
        </w:tc>
      </w:tr>
      <w:tr w:rsidR="00182E82" w:rsidRPr="00DC206E" w14:paraId="7F065989" w14:textId="77777777" w:rsidTr="00384F3E">
        <w:trPr>
          <w:jc w:val="center"/>
        </w:trPr>
        <w:tc>
          <w:tcPr>
            <w:tcW w:w="2093" w:type="dxa"/>
            <w:tcBorders>
              <w:top w:val="nil"/>
              <w:bottom w:val="single" w:sz="4" w:space="0" w:color="auto"/>
            </w:tcBorders>
            <w:shd w:val="clear" w:color="auto" w:fill="auto"/>
          </w:tcPr>
          <w:p w14:paraId="6DA4340A" w14:textId="77777777" w:rsidR="00182E82" w:rsidRPr="00BE1FB0" w:rsidRDefault="00182E82" w:rsidP="00384F3E">
            <w:pPr>
              <w:rPr>
                <w:sz w:val="16"/>
                <w:szCs w:val="16"/>
              </w:rPr>
            </w:pPr>
            <w:r w:rsidRPr="00BE1FB0">
              <w:rPr>
                <w:sz w:val="16"/>
                <w:szCs w:val="16"/>
              </w:rPr>
              <w:t>Accepted:</w:t>
            </w:r>
          </w:p>
          <w:p w14:paraId="4F6D4590" w14:textId="77777777" w:rsidR="00182E82" w:rsidRPr="00BE1FB0" w:rsidRDefault="00182E82" w:rsidP="00384F3E">
            <w:pPr>
              <w:jc w:val="left"/>
              <w:rPr>
                <w:sz w:val="16"/>
                <w:szCs w:val="16"/>
              </w:rPr>
            </w:pPr>
            <w:r w:rsidRPr="00BE1FB0">
              <w:rPr>
                <w:sz w:val="16"/>
                <w:szCs w:val="16"/>
                <w:highlight w:val="yellow"/>
              </w:rPr>
              <w:t>01 Month Year</w:t>
            </w:r>
          </w:p>
          <w:p w14:paraId="2E128EBD" w14:textId="77777777" w:rsidR="00182E82" w:rsidRPr="00BE1FB0" w:rsidRDefault="00182E82" w:rsidP="00384F3E">
            <w:pPr>
              <w:rPr>
                <w:sz w:val="16"/>
                <w:szCs w:val="16"/>
              </w:rPr>
            </w:pPr>
          </w:p>
        </w:tc>
        <w:tc>
          <w:tcPr>
            <w:tcW w:w="425" w:type="dxa"/>
          </w:tcPr>
          <w:p w14:paraId="18FAB1F1" w14:textId="77777777" w:rsidR="00182E82" w:rsidRPr="00DC206E" w:rsidRDefault="00182E82" w:rsidP="00384F3E">
            <w:pPr>
              <w:ind w:left="-54"/>
              <w:rPr>
                <w:b/>
                <w:sz w:val="24"/>
                <w:szCs w:val="20"/>
              </w:rPr>
            </w:pPr>
          </w:p>
        </w:tc>
        <w:tc>
          <w:tcPr>
            <w:tcW w:w="6723" w:type="dxa"/>
            <w:vMerge/>
            <w:tcBorders>
              <w:top w:val="nil"/>
              <w:bottom w:val="single" w:sz="4" w:space="0" w:color="auto"/>
            </w:tcBorders>
            <w:shd w:val="clear" w:color="auto" w:fill="auto"/>
          </w:tcPr>
          <w:p w14:paraId="648936C0" w14:textId="77777777" w:rsidR="00182E82" w:rsidRPr="00DC206E" w:rsidRDefault="00182E82" w:rsidP="00384F3E">
            <w:pPr>
              <w:rPr>
                <w:b/>
                <w:sz w:val="24"/>
                <w:szCs w:val="20"/>
              </w:rPr>
            </w:pPr>
          </w:p>
        </w:tc>
      </w:tr>
      <w:tr w:rsidR="00182E82" w:rsidRPr="00DC206E" w14:paraId="68C9A9A8" w14:textId="77777777" w:rsidTr="00384F3E">
        <w:trPr>
          <w:jc w:val="center"/>
        </w:trPr>
        <w:tc>
          <w:tcPr>
            <w:tcW w:w="2093" w:type="dxa"/>
            <w:tcBorders>
              <w:top w:val="single" w:sz="4" w:space="0" w:color="auto"/>
              <w:bottom w:val="single" w:sz="4" w:space="0" w:color="auto"/>
            </w:tcBorders>
            <w:shd w:val="clear" w:color="auto" w:fill="auto"/>
          </w:tcPr>
          <w:p w14:paraId="31A5CB4A" w14:textId="77777777" w:rsidR="00182E82" w:rsidRPr="00BE1FB0" w:rsidRDefault="00182E82" w:rsidP="00384F3E">
            <w:pPr>
              <w:rPr>
                <w:b/>
                <w:i/>
                <w:szCs w:val="20"/>
              </w:rPr>
            </w:pPr>
            <w:r w:rsidRPr="00BE1FB0">
              <w:rPr>
                <w:b/>
                <w:i/>
                <w:szCs w:val="20"/>
              </w:rPr>
              <w:t>Keywords</w:t>
            </w:r>
          </w:p>
          <w:p w14:paraId="4074ACBA" w14:textId="77777777" w:rsidR="00182E82" w:rsidRPr="00BE1FB0" w:rsidRDefault="00182E82" w:rsidP="00384F3E">
            <w:pPr>
              <w:rPr>
                <w:sz w:val="16"/>
                <w:szCs w:val="16"/>
              </w:rPr>
            </w:pPr>
          </w:p>
          <w:p w14:paraId="5713230D" w14:textId="20EB0E31" w:rsidR="00182E82" w:rsidRPr="00BE1FB0" w:rsidRDefault="00692CAC" w:rsidP="00384F3E">
            <w:pPr>
              <w:jc w:val="left"/>
              <w:rPr>
                <w:sz w:val="16"/>
                <w:szCs w:val="16"/>
                <w:highlight w:val="yellow"/>
              </w:rPr>
            </w:pPr>
            <w:r>
              <w:rPr>
                <w:sz w:val="16"/>
                <w:szCs w:val="16"/>
                <w:highlight w:val="yellow"/>
              </w:rPr>
              <w:t>Statistics in allied health education</w:t>
            </w:r>
          </w:p>
          <w:p w14:paraId="14348E81" w14:textId="44DC4D7B" w:rsidR="00182E82" w:rsidRPr="00BE1FB0" w:rsidRDefault="00692CAC" w:rsidP="00384F3E">
            <w:pPr>
              <w:jc w:val="left"/>
              <w:rPr>
                <w:sz w:val="16"/>
                <w:szCs w:val="16"/>
                <w:highlight w:val="yellow"/>
              </w:rPr>
            </w:pPr>
            <w:r>
              <w:rPr>
                <w:sz w:val="16"/>
                <w:szCs w:val="16"/>
                <w:highlight w:val="yellow"/>
              </w:rPr>
              <w:t>Statistics literacy</w:t>
            </w:r>
          </w:p>
          <w:p w14:paraId="3F4BAA1A" w14:textId="713F4351" w:rsidR="00182E82" w:rsidRDefault="00692CAC" w:rsidP="00384F3E">
            <w:pPr>
              <w:jc w:val="left"/>
              <w:rPr>
                <w:sz w:val="16"/>
                <w:szCs w:val="16"/>
              </w:rPr>
            </w:pPr>
            <w:r>
              <w:rPr>
                <w:sz w:val="16"/>
                <w:szCs w:val="16"/>
              </w:rPr>
              <w:t>Statistics education</w:t>
            </w:r>
          </w:p>
          <w:p w14:paraId="54C98CF9" w14:textId="65B7EBC9" w:rsidR="00182E82" w:rsidRPr="009E14FD" w:rsidRDefault="00182E82" w:rsidP="00384F3E">
            <w:pPr>
              <w:jc w:val="left"/>
              <w:rPr>
                <w:sz w:val="18"/>
                <w:szCs w:val="18"/>
              </w:rPr>
            </w:pPr>
          </w:p>
        </w:tc>
        <w:tc>
          <w:tcPr>
            <w:tcW w:w="425" w:type="dxa"/>
          </w:tcPr>
          <w:p w14:paraId="53320B04" w14:textId="77777777" w:rsidR="00182E82" w:rsidRPr="00DC206E" w:rsidRDefault="00182E82" w:rsidP="00384F3E">
            <w:pPr>
              <w:ind w:left="-54"/>
              <w:rPr>
                <w:b/>
                <w:sz w:val="24"/>
                <w:szCs w:val="20"/>
              </w:rPr>
            </w:pPr>
          </w:p>
        </w:tc>
        <w:tc>
          <w:tcPr>
            <w:tcW w:w="6723" w:type="dxa"/>
            <w:vMerge/>
            <w:tcBorders>
              <w:top w:val="nil"/>
              <w:bottom w:val="single" w:sz="4" w:space="0" w:color="auto"/>
            </w:tcBorders>
            <w:shd w:val="clear" w:color="auto" w:fill="auto"/>
          </w:tcPr>
          <w:p w14:paraId="41DD7B22" w14:textId="77777777" w:rsidR="00182E82" w:rsidRPr="00DC206E" w:rsidRDefault="00182E82" w:rsidP="00384F3E">
            <w:pPr>
              <w:rPr>
                <w:b/>
                <w:sz w:val="24"/>
                <w:szCs w:val="20"/>
              </w:rPr>
            </w:pPr>
          </w:p>
        </w:tc>
      </w:tr>
    </w:tbl>
    <w:p w14:paraId="1B7E77DD" w14:textId="77777777" w:rsidR="00182E82" w:rsidRPr="006E5717" w:rsidRDefault="00182E82" w:rsidP="00182E82">
      <w:pPr>
        <w:rPr>
          <w:szCs w:val="20"/>
        </w:rPr>
      </w:pPr>
    </w:p>
    <w:p w14:paraId="5DC906FD" w14:textId="77777777" w:rsidR="00182E82" w:rsidRPr="006E5717" w:rsidRDefault="00182E82" w:rsidP="00182E82">
      <w:pPr>
        <w:rPr>
          <w:szCs w:val="20"/>
        </w:rPr>
      </w:pPr>
    </w:p>
    <w:p w14:paraId="041E1079" w14:textId="77777777" w:rsidR="00182E82" w:rsidRPr="006E5717" w:rsidRDefault="00182E82" w:rsidP="00D94492">
      <w:pPr>
        <w:spacing w:line="360" w:lineRule="auto"/>
        <w:rPr>
          <w:b/>
        </w:rPr>
      </w:pPr>
      <w:bookmarkStart w:id="1" w:name="OLE_LINK7"/>
      <w:bookmarkStart w:id="2" w:name="OLE_LINK8"/>
      <w:r w:rsidRPr="006E5717">
        <w:rPr>
          <w:b/>
          <w:sz w:val="24"/>
        </w:rPr>
        <w:t>Introduction</w:t>
      </w:r>
    </w:p>
    <w:p w14:paraId="106AAF67" w14:textId="77777777" w:rsidR="00182E82" w:rsidRPr="006E5717" w:rsidRDefault="00182E82" w:rsidP="00D94492">
      <w:pPr>
        <w:spacing w:line="360" w:lineRule="auto"/>
      </w:pPr>
    </w:p>
    <w:p w14:paraId="032A0204" w14:textId="2854CD77" w:rsidR="00384F3E" w:rsidRPr="00BA44CD" w:rsidRDefault="00384F3E" w:rsidP="00D94492">
      <w:pPr>
        <w:spacing w:line="360" w:lineRule="auto"/>
      </w:pPr>
      <w:bookmarkStart w:id="3" w:name="_Hlk48661316"/>
      <w:bookmarkEnd w:id="1"/>
      <w:bookmarkEnd w:id="2"/>
      <w:r w:rsidRPr="00BA44CD">
        <w:t>Statistics is defined as “a branch of mathematics dealing with the collection, analysis, interpretation, and presentation of masses of numerical data” (Merriam-Webster Dictionary, 2020).  The use of statistical methods to analyze and interpret data is an important goal for many professions</w:t>
      </w:r>
      <w:r w:rsidR="00FE3C60">
        <w:t xml:space="preserve"> </w:t>
      </w:r>
      <w:r w:rsidRPr="00BA44CD">
        <w:t xml:space="preserve">and </w:t>
      </w:r>
      <w:proofErr w:type="gramStart"/>
      <w:r w:rsidRPr="00BA44CD">
        <w:t>is considered to be</w:t>
      </w:r>
      <w:proofErr w:type="gramEnd"/>
      <w:r w:rsidRPr="00BA44CD">
        <w:t xml:space="preserve"> a highly demanded skill for employers.  In fact, jobs that require statistical competence (e.g., data science, business analytics, machine learning) have been cited as being in the top hard skills in highest demand for the job landscape in the 2010’s and beyond (Anderson, 2020; Bowley, 2018).  In undergraduate curricula, statistics courses are important for other disciplines as these classes provide formal exposure to research design (</w:t>
      </w:r>
      <w:proofErr w:type="spellStart"/>
      <w:r w:rsidRPr="00BA44CD">
        <w:t>Mji</w:t>
      </w:r>
      <w:proofErr w:type="spellEnd"/>
      <w:r w:rsidRPr="00BA44CD">
        <w:t xml:space="preserve"> &amp; Onwuegbuzie, 2004).  Statistics is highly important in fields such as medicine, as humans are biological systems that react differently to treatments (Aggarwal, 2018).  In the context of evidence-based practice, it is important for health care professionals to understand and evaluate client or patient data, and to analyze existing research. For example, lack of understanding of statistics has been cited is a barrier for the integration of research into clinical practice in areas such fields as nursing (Epstein, Santa Mina, Gaudet, Singh &amp; Gula, 2011; </w:t>
      </w:r>
      <w:proofErr w:type="spellStart"/>
      <w:r w:rsidRPr="00BA44CD">
        <w:t>Hanoch</w:t>
      </w:r>
      <w:proofErr w:type="spellEnd"/>
      <w:r w:rsidRPr="00BA44CD">
        <w:t xml:space="preserve"> &amp; </w:t>
      </w:r>
      <w:proofErr w:type="spellStart"/>
      <w:r w:rsidRPr="00BA44CD">
        <w:t>Pachur</w:t>
      </w:r>
      <w:proofErr w:type="spellEnd"/>
      <w:r w:rsidRPr="00BA44CD">
        <w:t>, 2004) and athletic training (Riemann &amp; Lininger, 2015). The importance of understanding</w:t>
      </w:r>
      <w:r>
        <w:t>,</w:t>
      </w:r>
      <w:r w:rsidRPr="00BA44CD">
        <w:t xml:space="preserve"> and use</w:t>
      </w:r>
      <w:r>
        <w:t>,</w:t>
      </w:r>
      <w:r w:rsidRPr="00BA44CD">
        <w:t xml:space="preserve"> of statistical concepts has also been underscored in fields such as </w:t>
      </w:r>
      <w:r>
        <w:t>exercise science</w:t>
      </w:r>
      <w:r w:rsidRPr="00BA44CD">
        <w:t xml:space="preserve"> (Beck, 2013; Hopkins, Marshall, </w:t>
      </w:r>
      <w:proofErr w:type="spellStart"/>
      <w:r w:rsidRPr="00BA44CD">
        <w:t>Batterham</w:t>
      </w:r>
      <w:proofErr w:type="spellEnd"/>
      <w:r w:rsidRPr="00BA44CD">
        <w:t xml:space="preserve"> &amp; </w:t>
      </w:r>
      <w:proofErr w:type="spellStart"/>
      <w:r w:rsidRPr="00BA44CD">
        <w:t>Hanin</w:t>
      </w:r>
      <w:proofErr w:type="spellEnd"/>
      <w:r w:rsidRPr="00BA44CD">
        <w:t>, 2008)</w:t>
      </w:r>
      <w:r>
        <w:t>,</w:t>
      </w:r>
      <w:r w:rsidRPr="00BA44CD">
        <w:t xml:space="preserve"> and the public health professions (Hayat, Powell, Johnson, &amp; Caldwell, 2017).  </w:t>
      </w:r>
      <w:r>
        <w:t>O</w:t>
      </w:r>
      <w:r w:rsidRPr="00BA44CD">
        <w:t xml:space="preserve">ther analytical </w:t>
      </w:r>
      <w:r>
        <w:t>methods</w:t>
      </w:r>
      <w:r w:rsidRPr="00BA44CD">
        <w:t xml:space="preserve"> such as geospatial information systems (GIS) are used to model incidence of health-related outcomes (</w:t>
      </w:r>
      <w:proofErr w:type="spellStart"/>
      <w:r w:rsidRPr="00BA44CD">
        <w:t>Fradelos</w:t>
      </w:r>
      <w:proofErr w:type="spellEnd"/>
      <w:r w:rsidRPr="00BA44CD">
        <w:t xml:space="preserve"> et al, 2014), and require a fundamental understanding of statistics and its applications. From an interprofessional point of view, statistics is a common denominator across the health professions and plays a crucial role in the understanding of research. Its understanding is </w:t>
      </w:r>
      <w:r>
        <w:t xml:space="preserve">essential </w:t>
      </w:r>
      <w:r w:rsidRPr="00BA44CD">
        <w:t xml:space="preserve">to the design </w:t>
      </w:r>
      <w:r w:rsidRPr="00BA44CD">
        <w:lastRenderedPageBreak/>
        <w:t xml:space="preserve">and understanding of studies within and across disciplines, </w:t>
      </w:r>
      <w:proofErr w:type="gramStart"/>
      <w:r w:rsidRPr="00BA44CD">
        <w:t>and also</w:t>
      </w:r>
      <w:proofErr w:type="gramEnd"/>
      <w:r w:rsidRPr="00BA44CD">
        <w:t xml:space="preserve"> in the scope of practice across the health professions.  Hence, the understanding of statistics</w:t>
      </w:r>
      <w:r w:rsidR="00936D56">
        <w:t xml:space="preserve"> as well as</w:t>
      </w:r>
      <w:r w:rsidRPr="00BA44CD">
        <w:t xml:space="preserve"> its applications </w:t>
      </w:r>
      <w:r w:rsidR="00936D56">
        <w:t xml:space="preserve">are </w:t>
      </w:r>
      <w:r w:rsidRPr="00BA44CD">
        <w:t>important part</w:t>
      </w:r>
      <w:r w:rsidR="00936D56">
        <w:t>s</w:t>
      </w:r>
      <w:r w:rsidRPr="00BA44CD">
        <w:t xml:space="preserve"> of undergraduate health professions education.  </w:t>
      </w:r>
    </w:p>
    <w:p w14:paraId="049FAC0B" w14:textId="77777777" w:rsidR="00384F3E" w:rsidRDefault="00384F3E" w:rsidP="00D94492">
      <w:pPr>
        <w:spacing w:line="360" w:lineRule="auto"/>
      </w:pPr>
    </w:p>
    <w:p w14:paraId="7D9C056D" w14:textId="4E71F3B8" w:rsidR="00384F3E" w:rsidRPr="00BB3098" w:rsidRDefault="00384F3E" w:rsidP="00D94492">
      <w:pPr>
        <w:spacing w:line="360" w:lineRule="auto"/>
        <w:rPr>
          <w:b/>
          <w:bCs/>
        </w:rPr>
      </w:pPr>
      <w:r w:rsidRPr="00BB3098">
        <w:rPr>
          <w:b/>
          <w:bCs/>
        </w:rPr>
        <w:t>Background</w:t>
      </w:r>
    </w:p>
    <w:p w14:paraId="04D0ED16" w14:textId="77777777" w:rsidR="00BB3098" w:rsidRDefault="00BB3098" w:rsidP="00D94492">
      <w:pPr>
        <w:spacing w:line="360" w:lineRule="auto"/>
      </w:pPr>
    </w:p>
    <w:p w14:paraId="65892CB8" w14:textId="6A25230F" w:rsidR="00384F3E" w:rsidRPr="00BA44CD" w:rsidRDefault="00384F3E" w:rsidP="00D94492">
      <w:pPr>
        <w:spacing w:line="360" w:lineRule="auto"/>
      </w:pPr>
      <w:r w:rsidRPr="00BA44CD">
        <w:t xml:space="preserve">Statistics coursework continues to be a challenge for undergraduate students for several reasons.  Students who choose human interest majors (e.g., psychology &amp; medicine) generally prefer to learn the relevant human interest </w:t>
      </w:r>
      <w:proofErr w:type="gramStart"/>
      <w:r w:rsidRPr="00BA44CD">
        <w:t>content, and</w:t>
      </w:r>
      <w:proofErr w:type="gramEnd"/>
      <w:r w:rsidRPr="00BA44CD">
        <w:t xml:space="preserve"> prefer to stay away from methodological courses (Agga</w:t>
      </w:r>
      <w:r w:rsidR="003459AE">
        <w:t>r</w:t>
      </w:r>
      <w:r w:rsidRPr="00BA44CD">
        <w:t xml:space="preserve">wal, 2018; </w:t>
      </w:r>
      <w:proofErr w:type="spellStart"/>
      <w:r w:rsidRPr="00BA44CD">
        <w:t>Rajecki</w:t>
      </w:r>
      <w:proofErr w:type="spellEnd"/>
      <w:r w:rsidRPr="00BA44CD">
        <w:t xml:space="preserve">, Appleby, Williams, Johnson, &amp; </w:t>
      </w:r>
      <w:proofErr w:type="spellStart"/>
      <w:r w:rsidRPr="00BA44CD">
        <w:t>Jeschke</w:t>
      </w:r>
      <w:proofErr w:type="spellEnd"/>
      <w:r w:rsidRPr="00BA44CD">
        <w:t xml:space="preserve">, 2005). Such findings suggest poor attitudes toward statistics.  Moreover, the construct of anxiety is widely reported as a barrier to success in statistics courses </w:t>
      </w:r>
      <w:bookmarkStart w:id="4" w:name="_Hlk41392104"/>
      <w:r w:rsidRPr="00BA44CD">
        <w:t>(</w:t>
      </w:r>
      <w:proofErr w:type="spellStart"/>
      <w:r w:rsidRPr="00BA44CD">
        <w:t>Mji</w:t>
      </w:r>
      <w:proofErr w:type="spellEnd"/>
      <w:r w:rsidRPr="00BA44CD">
        <w:t xml:space="preserve"> &amp; Onwuegbuzie, 2004)</w:t>
      </w:r>
      <w:bookmarkEnd w:id="4"/>
      <w:r w:rsidRPr="00BA44CD">
        <w:t>.  For example, Kohli and colleagues (2011) found statistics anxiety to be a predictor of success in a business statistics course, while it was reported that students felt less anxiety in a psychological statistics course using a collaborative approach (</w:t>
      </w:r>
      <w:proofErr w:type="spellStart"/>
      <w:r w:rsidRPr="00BA44CD">
        <w:t>Gorvine</w:t>
      </w:r>
      <w:proofErr w:type="spellEnd"/>
      <w:r w:rsidRPr="00BA44CD">
        <w:t xml:space="preserve"> &amp; Smith, 2015).  Results are mixed as some studies do not find an association between statistics anxiety and course performance (Lester, 2016).  However, statistics attitudes and anxiety are so widely studied that several instruments exist in order to measure it (</w:t>
      </w:r>
      <w:bookmarkStart w:id="5" w:name="_Hlk41393327"/>
      <w:r w:rsidRPr="00BA44CD">
        <w:t>Cruise, Cash, &amp; Bolton, 1985</w:t>
      </w:r>
      <w:bookmarkEnd w:id="5"/>
      <w:r w:rsidRPr="00BA44CD">
        <w:t>; Vigil-Colet, Lorenzo-</w:t>
      </w:r>
      <w:proofErr w:type="spellStart"/>
      <w:r w:rsidRPr="00BA44CD">
        <w:t>Seva</w:t>
      </w:r>
      <w:proofErr w:type="spellEnd"/>
      <w:r w:rsidRPr="00BA44CD">
        <w:t xml:space="preserve"> &amp; Condon, 2008).  </w:t>
      </w:r>
    </w:p>
    <w:p w14:paraId="0705A139" w14:textId="77777777" w:rsidR="00661E38" w:rsidRDefault="00661E38" w:rsidP="00D94492">
      <w:pPr>
        <w:spacing w:line="360" w:lineRule="auto"/>
      </w:pPr>
    </w:p>
    <w:p w14:paraId="5A858501" w14:textId="011F2C21" w:rsidR="00384F3E" w:rsidRPr="00BA44CD" w:rsidRDefault="00384F3E" w:rsidP="00D94492">
      <w:pPr>
        <w:spacing w:line="360" w:lineRule="auto"/>
      </w:pPr>
      <w:r w:rsidRPr="00BA44CD">
        <w:t>Demographic variables have been shown to predict success at STEM content, including statistics.  Race and ethnicity have been cited to predict STEM achievement, with Asian and Caucasian students reported to have more success than their Black, Hispanic/Latinx, and Native American counterparts (</w:t>
      </w:r>
      <w:r w:rsidR="007E6499" w:rsidRPr="00BA44CD">
        <w:t>American Psychological Association</w:t>
      </w:r>
      <w:r w:rsidRPr="00BA44CD">
        <w:t>, 2020). For example, Caucasian students were found to find more success than their ethnic minority counterparts in an introductory (</w:t>
      </w:r>
      <w:proofErr w:type="gramStart"/>
      <w:r w:rsidRPr="00BA44CD">
        <w:t>first-year</w:t>
      </w:r>
      <w:proofErr w:type="gramEnd"/>
      <w:r w:rsidRPr="00BA44CD">
        <w:t>) mathematics course (</w:t>
      </w:r>
      <w:proofErr w:type="spellStart"/>
      <w:r w:rsidRPr="00BA44CD">
        <w:t>Wolfle</w:t>
      </w:r>
      <w:proofErr w:type="spellEnd"/>
      <w:r w:rsidRPr="00BA44CD">
        <w:t xml:space="preserve">, 2012), and Asians have been reported to have </w:t>
      </w:r>
      <w:r>
        <w:t>higher achievement</w:t>
      </w:r>
      <w:r w:rsidRPr="00BA44CD">
        <w:t xml:space="preserve"> than their </w:t>
      </w:r>
      <w:r>
        <w:t xml:space="preserve">Caucasian, </w:t>
      </w:r>
      <w:r w:rsidRPr="00BA44CD">
        <w:t xml:space="preserve">African-American and Latinx counterparts (van Es &amp; Weaver, 2018).  This is not unanimous, as Caucasians were reported to have lower achievement than all other groups in a business statistics course (Kohli, Peng &amp; Mittal, 2011). </w:t>
      </w:r>
      <w:r>
        <w:t>Other</w:t>
      </w:r>
      <w:r w:rsidR="00661E38">
        <w:t>s</w:t>
      </w:r>
      <w:r>
        <w:t xml:space="preserve"> have found no relationship (</w:t>
      </w:r>
      <w:r w:rsidRPr="00BA44CD">
        <w:t xml:space="preserve">Rochelle &amp; </w:t>
      </w:r>
      <w:proofErr w:type="spellStart"/>
      <w:r w:rsidRPr="00BA44CD">
        <w:t>Dotterweich</w:t>
      </w:r>
      <w:proofErr w:type="spellEnd"/>
      <w:r w:rsidRPr="00BA44CD">
        <w:t>, 2007</w:t>
      </w:r>
      <w:r>
        <w:t xml:space="preserve">). </w:t>
      </w:r>
      <w:r w:rsidRPr="00BA44CD">
        <w:t>Hence the relationship with race/ethnicity with success</w:t>
      </w:r>
      <w:r>
        <w:t>ful statistics outcomes</w:t>
      </w:r>
      <w:r w:rsidRPr="00BA44CD">
        <w:t xml:space="preserve"> appears to be complex.</w:t>
      </w:r>
    </w:p>
    <w:p w14:paraId="6963A36D" w14:textId="77777777" w:rsidR="00384F3E" w:rsidRDefault="00384F3E" w:rsidP="00D94492">
      <w:pPr>
        <w:spacing w:line="360" w:lineRule="auto"/>
      </w:pPr>
    </w:p>
    <w:p w14:paraId="4F4C625C" w14:textId="4FC1CC76" w:rsidR="00384F3E" w:rsidRPr="00BA44CD" w:rsidRDefault="00384F3E" w:rsidP="00D94492">
      <w:pPr>
        <w:spacing w:line="360" w:lineRule="auto"/>
      </w:pPr>
      <w:r w:rsidRPr="00BA44CD">
        <w:t>The effect of gender upon performance is apparent, but also complex.  Schram (1996) reported that males performed better than females in examination scores, yet females surpassed males in statistics course performance, a</w:t>
      </w:r>
      <w:r w:rsidR="00661E38">
        <w:t>s well as</w:t>
      </w:r>
      <w:r w:rsidRPr="00BA44CD">
        <w:t xml:space="preserve"> in business courses.  Females were also reported to also perform better than males in a psychological statistics course (Lester, 2016).  Conversely, there are reports of males performing better than females (van Es &amp; Weaver, 2018), and even no difference between genders (Rochelle &amp; </w:t>
      </w:r>
      <w:proofErr w:type="spellStart"/>
      <w:r w:rsidRPr="00BA44CD">
        <w:t>Dotterweich</w:t>
      </w:r>
      <w:proofErr w:type="spellEnd"/>
      <w:r w:rsidRPr="00BA44CD">
        <w:t>, 2007). Similarly, the effect of age upon success seems to vary. While it has been shown to be a predictor in similar courses such as introductory mathematics (</w:t>
      </w:r>
      <w:proofErr w:type="spellStart"/>
      <w:r w:rsidRPr="00BA44CD">
        <w:t>Wolfle</w:t>
      </w:r>
      <w:proofErr w:type="spellEnd"/>
      <w:r w:rsidRPr="00BA44CD">
        <w:t>, 2012), it has not been a predictor in other</w:t>
      </w:r>
      <w:r>
        <w:t xml:space="preserve"> classes</w:t>
      </w:r>
      <w:r w:rsidRPr="00BA44CD">
        <w:t xml:space="preserve"> (</w:t>
      </w:r>
      <w:bookmarkStart w:id="6" w:name="_Hlk44504458"/>
      <w:r w:rsidRPr="00BA44CD">
        <w:t xml:space="preserve">Kohli, Peng &amp; Mittal, 2011; </w:t>
      </w:r>
      <w:bookmarkStart w:id="7" w:name="_Hlk44506671"/>
      <w:r w:rsidRPr="00BA44CD">
        <w:t xml:space="preserve">Rochelle &amp; </w:t>
      </w:r>
      <w:proofErr w:type="spellStart"/>
      <w:r w:rsidRPr="00BA44CD">
        <w:t>Dotterweich</w:t>
      </w:r>
      <w:proofErr w:type="spellEnd"/>
      <w:r w:rsidRPr="00BA44CD">
        <w:t>, 2007</w:t>
      </w:r>
      <w:bookmarkEnd w:id="6"/>
      <w:bookmarkEnd w:id="7"/>
      <w:r w:rsidRPr="00BA44CD">
        <w:t xml:space="preserve">).   </w:t>
      </w:r>
    </w:p>
    <w:p w14:paraId="640B42F3" w14:textId="77777777" w:rsidR="00661E38" w:rsidRDefault="00661E38" w:rsidP="00D94492">
      <w:pPr>
        <w:spacing w:line="360" w:lineRule="auto"/>
      </w:pPr>
    </w:p>
    <w:p w14:paraId="40664BF2" w14:textId="43FBB018" w:rsidR="00384F3E" w:rsidRPr="00BA44CD" w:rsidRDefault="00384F3E" w:rsidP="00D94492">
      <w:pPr>
        <w:spacing w:line="360" w:lineRule="auto"/>
      </w:pPr>
      <w:r w:rsidRPr="00BA44CD">
        <w:t xml:space="preserve">Stereotype threat is the perception of stigmatized groups that their behavior may confirm negative </w:t>
      </w:r>
      <w:proofErr w:type="gramStart"/>
      <w:r w:rsidRPr="00BA44CD">
        <w:t>stereotypes, and</w:t>
      </w:r>
      <w:proofErr w:type="gramEnd"/>
      <w:r w:rsidRPr="00BA44CD">
        <w:t xml:space="preserve"> has been implicated in the representation of women and minorities in the STEM fields. The anxiety results </w:t>
      </w:r>
      <w:r w:rsidRPr="00BA44CD">
        <w:lastRenderedPageBreak/>
        <w:t xml:space="preserve">from negative stereotypes of women and minorities (Beasley &amp; Fischer, 2012; </w:t>
      </w:r>
      <w:proofErr w:type="spellStart"/>
      <w:r w:rsidRPr="00BA44CD">
        <w:t>Inzlicht</w:t>
      </w:r>
      <w:proofErr w:type="spellEnd"/>
      <w:r w:rsidRPr="00BA44CD">
        <w:t xml:space="preserve"> &amp; Ben-</w:t>
      </w:r>
      <w:proofErr w:type="spellStart"/>
      <w:r w:rsidRPr="00BA44CD">
        <w:t>Zeev</w:t>
      </w:r>
      <w:proofErr w:type="spellEnd"/>
      <w:r w:rsidRPr="00BA44CD">
        <w:t xml:space="preserve">, 2000) being intellectually inferior, and has been reported to have ethnicity/gender interaction effects (Beasley &amp; Fischer, 2012; Brown, 2000). </w:t>
      </w:r>
      <w:r w:rsidR="00661E38" w:rsidRPr="00BA44CD">
        <w:t xml:space="preserve">However, some findings (Kohli, Peng &amp; Mittal, 2011; Rochelle &amp; </w:t>
      </w:r>
      <w:proofErr w:type="spellStart"/>
      <w:r w:rsidR="00661E38" w:rsidRPr="00BA44CD">
        <w:t>Dotterweich</w:t>
      </w:r>
      <w:proofErr w:type="spellEnd"/>
      <w:r w:rsidR="00661E38" w:rsidRPr="00BA44CD">
        <w:t>, 2007) have contradicted this trend.</w:t>
      </w:r>
      <w:r w:rsidRPr="00BA44CD">
        <w:t xml:space="preserve"> </w:t>
      </w:r>
      <w:r w:rsidR="000641D3">
        <w:t xml:space="preserve"> </w:t>
      </w:r>
      <w:r>
        <w:t>In summary,</w:t>
      </w:r>
      <w:r w:rsidRPr="00BA44CD">
        <w:t xml:space="preserve"> the </w:t>
      </w:r>
      <w:r>
        <w:t>associations</w:t>
      </w:r>
      <w:r w:rsidRPr="00BA44CD">
        <w:t xml:space="preserve"> of ethnicity, gender, and age </w:t>
      </w:r>
      <w:r>
        <w:t>with</w:t>
      </w:r>
      <w:r w:rsidRPr="00BA44CD">
        <w:t xml:space="preserve"> success in statistics courses are </w:t>
      </w:r>
      <w:r>
        <w:t xml:space="preserve">complex and </w:t>
      </w:r>
      <w:proofErr w:type="gramStart"/>
      <w:r w:rsidRPr="00BA44CD">
        <w:t>unclear, but</w:t>
      </w:r>
      <w:proofErr w:type="gramEnd"/>
      <w:r w:rsidRPr="00BA44CD">
        <w:t xml:space="preserve"> may </w:t>
      </w:r>
      <w:r>
        <w:t xml:space="preserve">involve factors that </w:t>
      </w:r>
      <w:r w:rsidR="00531298">
        <w:t>are not currently understood</w:t>
      </w:r>
      <w:r w:rsidR="00686CF5">
        <w:t>.</w:t>
      </w:r>
      <w:r w:rsidR="00686CF5">
        <w:t xml:space="preserve"> </w:t>
      </w:r>
      <w:r w:rsidR="00F003AB">
        <w:t>T</w:t>
      </w:r>
      <w:r w:rsidR="00686CF5">
        <w:t>he goal of this study is to add to the literature on statistics achievement</w:t>
      </w:r>
      <w:r w:rsidR="00F003AB">
        <w:t>, specifically for</w:t>
      </w:r>
      <w:r w:rsidR="00686CF5">
        <w:t xml:space="preserve"> allied health majors.</w:t>
      </w:r>
    </w:p>
    <w:p w14:paraId="394E79CE" w14:textId="77777777" w:rsidR="00384F3E" w:rsidRDefault="00384F3E" w:rsidP="00D94492">
      <w:pPr>
        <w:spacing w:line="360" w:lineRule="auto"/>
      </w:pPr>
    </w:p>
    <w:p w14:paraId="2F7C6BAA" w14:textId="5E240942" w:rsidR="00384F3E" w:rsidRPr="00BB3098" w:rsidRDefault="00384F3E" w:rsidP="00D94492">
      <w:pPr>
        <w:spacing w:line="360" w:lineRule="auto"/>
        <w:rPr>
          <w:b/>
          <w:bCs/>
        </w:rPr>
      </w:pPr>
      <w:r w:rsidRPr="00BB3098">
        <w:rPr>
          <w:b/>
          <w:bCs/>
        </w:rPr>
        <w:t>Predictors (fixed effects)</w:t>
      </w:r>
    </w:p>
    <w:p w14:paraId="2783FF85" w14:textId="77777777" w:rsidR="00BB3098" w:rsidRPr="00BA44CD" w:rsidRDefault="00BB3098" w:rsidP="00D94492">
      <w:pPr>
        <w:spacing w:line="360" w:lineRule="auto"/>
      </w:pPr>
    </w:p>
    <w:p w14:paraId="34C49266" w14:textId="26C93B4F" w:rsidR="00531298" w:rsidRDefault="00384F3E" w:rsidP="00D94492">
      <w:pPr>
        <w:spacing w:line="360" w:lineRule="auto"/>
      </w:pPr>
      <w:r w:rsidRPr="00BA44CD">
        <w:t xml:space="preserve">Since it has been shown that age, </w:t>
      </w:r>
      <w:proofErr w:type="gramStart"/>
      <w:r w:rsidRPr="00BA44CD">
        <w:t>ethnicity</w:t>
      </w:r>
      <w:proofErr w:type="gramEnd"/>
      <w:r w:rsidRPr="00BA44CD">
        <w:t xml:space="preserve"> and gender can predict performance in statistics courses</w:t>
      </w:r>
      <w:r>
        <w:t>,</w:t>
      </w:r>
      <w:r w:rsidRPr="00BA44CD">
        <w:t xml:space="preserve"> which are possible gatekeeper courses for allied health disciplines, </w:t>
      </w:r>
      <w:bookmarkStart w:id="8" w:name="_Hlk45538420"/>
      <w:r w:rsidRPr="00BA44CD">
        <w:t xml:space="preserve">it is important to understand the incidence and nature of this disparity in </w:t>
      </w:r>
      <w:r w:rsidR="00936D56">
        <w:t xml:space="preserve">pertinent </w:t>
      </w:r>
      <w:r w:rsidRPr="00BA44CD">
        <w:t>student</w:t>
      </w:r>
      <w:r w:rsidR="00936D56">
        <w:t>s</w:t>
      </w:r>
      <w:r w:rsidRPr="00BA44CD">
        <w:t xml:space="preserve">. </w:t>
      </w:r>
      <w:r w:rsidR="00531298">
        <w:t>D</w:t>
      </w:r>
      <w:r w:rsidR="00531298" w:rsidRPr="00BA44CD">
        <w:t xml:space="preserve">isparities </w:t>
      </w:r>
      <w:r w:rsidR="00531298">
        <w:t xml:space="preserve">in statistics success </w:t>
      </w:r>
      <w:r w:rsidR="00531298" w:rsidRPr="00BA44CD">
        <w:t xml:space="preserve">within the context of health professions education </w:t>
      </w:r>
      <w:r w:rsidR="00531298">
        <w:t xml:space="preserve">could </w:t>
      </w:r>
      <w:r w:rsidR="00531298" w:rsidRPr="00BA44CD">
        <w:t>have potential downstream public health implications</w:t>
      </w:r>
      <w:r w:rsidR="00531298">
        <w:t>;</w:t>
      </w:r>
      <w:r w:rsidR="00531298" w:rsidRPr="00BA44CD">
        <w:t xml:space="preserve"> </w:t>
      </w:r>
      <w:r w:rsidR="00531298">
        <w:t>specifically, such disparities</w:t>
      </w:r>
      <w:r w:rsidR="00531298" w:rsidRPr="00BA44CD">
        <w:t xml:space="preserve"> </w:t>
      </w:r>
      <w:r w:rsidR="00531298">
        <w:t xml:space="preserve">could </w:t>
      </w:r>
      <w:r w:rsidR="00531298" w:rsidRPr="00BA44CD">
        <w:t>adversely affect the presence of a diverse health professions workforce, a</w:t>
      </w:r>
      <w:r w:rsidR="00936D56">
        <w:t>nd thus</w:t>
      </w:r>
      <w:r w:rsidR="00531298" w:rsidRPr="00BA44CD">
        <w:t xml:space="preserve"> decisions concerning health care policy.</w:t>
      </w:r>
      <w:r w:rsidR="00531298">
        <w:t xml:space="preserve"> </w:t>
      </w:r>
      <w:r w:rsidRPr="00BA44CD">
        <w:t>As a diverse healthcare workforce is crucial in maintaining the quality of healthcare for underserved populations</w:t>
      </w:r>
      <w:bookmarkEnd w:id="8"/>
      <w:r w:rsidRPr="00BA44CD">
        <w:t xml:space="preserve"> (Cohen, Gabriel &amp; Terrell, 2002), teaching and administrative personnel should preemptively employ necessary interventions to address any existing disparities in success of statistics outcomes.  </w:t>
      </w:r>
    </w:p>
    <w:p w14:paraId="1DA55E17" w14:textId="77777777" w:rsidR="00531298" w:rsidRDefault="00531298" w:rsidP="00D94492">
      <w:pPr>
        <w:spacing w:line="360" w:lineRule="auto"/>
      </w:pPr>
    </w:p>
    <w:p w14:paraId="533B300C" w14:textId="74312D57" w:rsidR="00384F3E" w:rsidRPr="00BA44CD" w:rsidRDefault="00384F3E" w:rsidP="00D94492">
      <w:pPr>
        <w:spacing w:line="360" w:lineRule="auto"/>
      </w:pPr>
      <w:r w:rsidRPr="00BA44CD">
        <w:t xml:space="preserve">Finally, it has been shown that students prefer to take difficult courses in a traditional format (Jaggars, 2014), and are more likely to be unsuccessful in online courses (Jaggars, Edgecombe &amp; Stacey 2013). </w:t>
      </w:r>
      <w:r>
        <w:t>S</w:t>
      </w:r>
      <w:r w:rsidRPr="00BA44CD">
        <w:t>tatistics is a</w:t>
      </w:r>
      <w:r>
        <w:t xml:space="preserve"> typically considered to be a</w:t>
      </w:r>
      <w:r w:rsidRPr="00BA44CD">
        <w:t xml:space="preserve"> difficult course, and </w:t>
      </w:r>
      <w:r>
        <w:t>the course described in this instance</w:t>
      </w:r>
      <w:r w:rsidRPr="00BA44CD">
        <w:t xml:space="preserve"> was offered in both traditional and online formats</w:t>
      </w:r>
      <w:r>
        <w:t>.</w:t>
      </w:r>
      <w:r w:rsidRPr="00BA44CD">
        <w:t xml:space="preserve"> </w:t>
      </w:r>
      <w:r>
        <w:t>Hence the format offered</w:t>
      </w:r>
      <w:r w:rsidRPr="00BA44CD">
        <w:t xml:space="preserve"> was used as a </w:t>
      </w:r>
      <w:r>
        <w:t>predictor</w:t>
      </w:r>
      <w:r w:rsidRPr="00BA44CD">
        <w:t xml:space="preserve"> in the study described here.  </w:t>
      </w:r>
      <w:r>
        <w:t>In total,</w:t>
      </w:r>
      <w:r w:rsidRPr="00BA44CD">
        <w:t xml:space="preserve"> ethnicity, gender, their interaction, age and the format offered were used to predict successful course completion in this study.</w:t>
      </w:r>
    </w:p>
    <w:p w14:paraId="52502103" w14:textId="77777777" w:rsidR="00384F3E" w:rsidRDefault="00384F3E" w:rsidP="00D94492">
      <w:pPr>
        <w:spacing w:line="360" w:lineRule="auto"/>
      </w:pPr>
    </w:p>
    <w:p w14:paraId="20AF2DA7" w14:textId="0DEE634B" w:rsidR="00384F3E" w:rsidRPr="00BB3098" w:rsidRDefault="00384F3E" w:rsidP="00D94492">
      <w:pPr>
        <w:spacing w:line="360" w:lineRule="auto"/>
        <w:rPr>
          <w:b/>
          <w:bCs/>
        </w:rPr>
      </w:pPr>
      <w:r w:rsidRPr="00BB3098">
        <w:rPr>
          <w:b/>
          <w:bCs/>
        </w:rPr>
        <w:t>Random effects</w:t>
      </w:r>
    </w:p>
    <w:p w14:paraId="0D63DCC9" w14:textId="77777777" w:rsidR="00BB3098" w:rsidRPr="00BA44CD" w:rsidRDefault="00BB3098" w:rsidP="00D94492">
      <w:pPr>
        <w:spacing w:line="360" w:lineRule="auto"/>
      </w:pPr>
    </w:p>
    <w:p w14:paraId="7B772BB8" w14:textId="25C5C739" w:rsidR="00384F3E" w:rsidRPr="00BA44CD" w:rsidRDefault="00384F3E" w:rsidP="00D94492">
      <w:pPr>
        <w:spacing w:line="360" w:lineRule="auto"/>
      </w:pPr>
      <w:r w:rsidRPr="00BA44CD">
        <w:t xml:space="preserve">Random effects are used to describe correlated groups that may explain variation in success.  Semester of attendance was initially going to be used as a random effect.  However, this null model effectively </w:t>
      </w:r>
      <w:r w:rsidR="00F003AB">
        <w:t>explained</w:t>
      </w:r>
      <w:r w:rsidRPr="00BA44CD">
        <w:t xml:space="preserve"> no variance, and was therefore removed </w:t>
      </w:r>
      <w:proofErr w:type="gramStart"/>
      <w:r w:rsidRPr="00BA44CD">
        <w:t>in order to</w:t>
      </w:r>
      <w:proofErr w:type="gramEnd"/>
      <w:r w:rsidRPr="00BA44CD">
        <w:t xml:space="preserve"> preserve degrees of freedom for the analysis.  Nursing programs also accept students as cohorts in which they generally remain until </w:t>
      </w:r>
      <w:proofErr w:type="gramStart"/>
      <w:r w:rsidRPr="00BA44CD">
        <w:t>graduating, and</w:t>
      </w:r>
      <w:proofErr w:type="gramEnd"/>
      <w:r w:rsidRPr="00BA44CD">
        <w:t xml:space="preserve"> are more rigidly structured than the other programs represented </w:t>
      </w:r>
      <w:r>
        <w:t>in this study (described later)</w:t>
      </w:r>
      <w:r w:rsidRPr="00BA44CD">
        <w:t xml:space="preserve">. Therefore, the student’s major was used as a random effect. This variable was categorized as </w:t>
      </w:r>
      <w:r>
        <w:t xml:space="preserve">follows: </w:t>
      </w:r>
      <w:proofErr w:type="gramStart"/>
      <w:r w:rsidRPr="00BA44CD">
        <w:t>bachelor of health care sciences</w:t>
      </w:r>
      <w:proofErr w:type="gramEnd"/>
      <w:r w:rsidRPr="00BA44CD">
        <w:t xml:space="preserve"> (BHCS), bachelor of </w:t>
      </w:r>
      <w:r w:rsidRPr="00BA44CD">
        <w:lastRenderedPageBreak/>
        <w:t>science in nursing (BSN), pre-health scare sciences, pre-nursing, and other.  These categories will be further described below.</w:t>
      </w:r>
    </w:p>
    <w:p w14:paraId="356CAC20" w14:textId="77777777" w:rsidR="00A93A74" w:rsidRDefault="00A93A74" w:rsidP="002F7005">
      <w:pPr>
        <w:spacing w:line="360" w:lineRule="auto"/>
        <w:rPr>
          <w:b/>
          <w:bCs/>
        </w:rPr>
      </w:pPr>
    </w:p>
    <w:p w14:paraId="25D519B2" w14:textId="1221CAC5" w:rsidR="00384F3E" w:rsidRPr="00BB3098" w:rsidRDefault="00384F3E" w:rsidP="00D94492">
      <w:pPr>
        <w:spacing w:line="360" w:lineRule="auto"/>
        <w:rPr>
          <w:b/>
          <w:bCs/>
        </w:rPr>
      </w:pPr>
      <w:r w:rsidRPr="00BB3098">
        <w:rPr>
          <w:b/>
          <w:bCs/>
        </w:rPr>
        <w:t>Success (outcome variable)</w:t>
      </w:r>
    </w:p>
    <w:p w14:paraId="442542A2" w14:textId="77777777" w:rsidR="00BB3098" w:rsidRPr="00BA44CD" w:rsidRDefault="00BB3098" w:rsidP="00D94492">
      <w:pPr>
        <w:spacing w:line="360" w:lineRule="auto"/>
      </w:pPr>
    </w:p>
    <w:p w14:paraId="7B479235" w14:textId="77777777" w:rsidR="00384F3E" w:rsidRPr="00BA44CD" w:rsidRDefault="00384F3E" w:rsidP="00D94492">
      <w:pPr>
        <w:spacing w:line="360" w:lineRule="auto"/>
      </w:pPr>
      <w:r w:rsidRPr="00BA44CD">
        <w:t xml:space="preserve">In the study, the grades of A, B, and C were defined as success, and all other grades (D, F, W) were defined as unsuccessful.  While withdrawal is not the same as failure, it was included in the unsuccessful group for several reasons. Withdrawal is an adverse outcome for the student as it has been shown to prolong time taken to graduate (Nicholls &amp; Gaede, 2014).  It is also </w:t>
      </w:r>
      <w:proofErr w:type="gramStart"/>
      <w:r w:rsidRPr="00BA44CD">
        <w:t>adverse</w:t>
      </w:r>
      <w:proofErr w:type="gramEnd"/>
      <w:r w:rsidRPr="00BA44CD">
        <w:t xml:space="preserve"> to the institution as it results in misallocated class spaces, which results in a delay of enrollment for other students.  These effects are exacerbated for online classes, as it has been reported that students are more likely to withdraw from online courses (Jaggars, Edgecombe &amp; Stacey 2013).</w:t>
      </w:r>
    </w:p>
    <w:bookmarkEnd w:id="3"/>
    <w:p w14:paraId="4E13B95E" w14:textId="77777777" w:rsidR="00182E82" w:rsidRPr="006E5717" w:rsidRDefault="00182E82" w:rsidP="00D94492">
      <w:pPr>
        <w:spacing w:line="360" w:lineRule="auto"/>
      </w:pPr>
    </w:p>
    <w:p w14:paraId="65BB297B" w14:textId="77777777" w:rsidR="00182E82" w:rsidRPr="006E5717" w:rsidRDefault="00182E82" w:rsidP="00D94492">
      <w:pPr>
        <w:spacing w:line="360" w:lineRule="auto"/>
        <w:rPr>
          <w:b/>
        </w:rPr>
      </w:pPr>
      <w:r w:rsidRPr="006E5717">
        <w:rPr>
          <w:b/>
          <w:sz w:val="24"/>
        </w:rPr>
        <w:t>Method</w:t>
      </w:r>
    </w:p>
    <w:p w14:paraId="583347D2" w14:textId="77777777" w:rsidR="00182E82" w:rsidRPr="006E5717" w:rsidRDefault="00182E82" w:rsidP="00D94492">
      <w:pPr>
        <w:spacing w:line="360" w:lineRule="auto"/>
      </w:pPr>
    </w:p>
    <w:p w14:paraId="50B3E410" w14:textId="77777777" w:rsidR="00291938" w:rsidRPr="00291938" w:rsidRDefault="00291938" w:rsidP="00D94492">
      <w:pPr>
        <w:spacing w:line="360" w:lineRule="auto"/>
        <w:rPr>
          <w:b/>
          <w:bCs/>
        </w:rPr>
      </w:pPr>
      <w:r w:rsidRPr="00291938">
        <w:rPr>
          <w:b/>
          <w:bCs/>
        </w:rPr>
        <w:t>Data and participant characteristics</w:t>
      </w:r>
    </w:p>
    <w:p w14:paraId="3DD928D1" w14:textId="77777777" w:rsidR="00291938" w:rsidRDefault="00291938" w:rsidP="00D94492">
      <w:pPr>
        <w:spacing w:line="360" w:lineRule="auto"/>
      </w:pPr>
    </w:p>
    <w:p w14:paraId="369807F1" w14:textId="780ED658" w:rsidR="00384F3E" w:rsidRPr="00BA44CD" w:rsidRDefault="00384F3E" w:rsidP="00D94492">
      <w:pPr>
        <w:spacing w:line="360" w:lineRule="auto"/>
      </w:pPr>
      <w:r w:rsidRPr="00BA44CD">
        <w:t xml:space="preserve">The data used in this study were blinded with fake ID numbers by the institution’s office of data management prior to sharing with the researcher, and there was a total of 953 rows of data.  There were 926 unique ID numbers, with 27 students enrolling more than once.  Hence the 953 rows describe attempts, specifically successful and unsuccessful outcomes.  Of these, 805 were successful, and 148 were unsuccessful.  </w:t>
      </w:r>
      <w:proofErr w:type="gramStart"/>
      <w:r w:rsidRPr="00BA44CD">
        <w:t>The majority of</w:t>
      </w:r>
      <w:proofErr w:type="gramEnd"/>
      <w:r w:rsidRPr="00BA44CD">
        <w:t xml:space="preserve"> the students were allied health majors. The course was offered by a health sciences department that housed concentrations in nutrition, exercise science, health promotion, athletic training, and a general baccalaureate degree for allied health professionals who already held an </w:t>
      </w:r>
      <w:proofErr w:type="gramStart"/>
      <w:r w:rsidRPr="00BA44CD">
        <w:t>associate’s</w:t>
      </w:r>
      <w:proofErr w:type="gramEnd"/>
      <w:r w:rsidRPr="00BA44CD">
        <w:t xml:space="preserve"> degree in a health related profession (BHCS).  However, the course was also taken by pre-nursing students, as well as students who were in the professional phase of a </w:t>
      </w:r>
      <w:proofErr w:type="gramStart"/>
      <w:r w:rsidRPr="00BA44CD">
        <w:t>bachelor of science nursing</w:t>
      </w:r>
      <w:proofErr w:type="gramEnd"/>
      <w:r w:rsidRPr="00BA44CD">
        <w:t xml:space="preserve"> program (BSN). There were 57 pre health care science students, 512 HCSC students, 176 nursing prep students and 131 BSN students (i.e., in the professional phase of the program). Given student anxiety surrounding statistics, it seems</w:t>
      </w:r>
      <w:r>
        <w:t xml:space="preserve"> </w:t>
      </w:r>
      <w:r w:rsidRPr="00BA44CD">
        <w:t>likely that the rest of the students (n = 50) who represented other majors took the class as a substitution for a mandatory course within their own department</w:t>
      </w:r>
      <w:r>
        <w:t>, rather than as an elective</w:t>
      </w:r>
      <w:r w:rsidRPr="00BA44CD">
        <w:t xml:space="preserve">.   </w:t>
      </w:r>
    </w:p>
    <w:p w14:paraId="46B15066" w14:textId="77777777" w:rsidR="00384F3E" w:rsidRDefault="00384F3E" w:rsidP="00D94492">
      <w:pPr>
        <w:spacing w:line="360" w:lineRule="auto"/>
      </w:pPr>
    </w:p>
    <w:p w14:paraId="017568FE" w14:textId="31F60883" w:rsidR="00384F3E" w:rsidRPr="00BA44CD" w:rsidRDefault="00384F3E" w:rsidP="00D94492">
      <w:pPr>
        <w:spacing w:line="360" w:lineRule="auto"/>
      </w:pPr>
      <w:r w:rsidRPr="00BA44CD">
        <w:t xml:space="preserve">The course in this study was a sophomore level statistics class in which students were enrolled between Spring 2012 and Summer 2016, for a total of 14 semesters.  The statistics course covered the following topics: sampling, experimental design, measures of central tendency and variation, probability distributions, hypothesis testing methods such as correlation, regression, the t-tests, analysis of variance (ANOVA), and non-parametric testing. The course was offered in a health sciences college at a public institution that, as of 2019 is described as having an undergraduate student body with the following demographics: 34% minority, and 53% female.  </w:t>
      </w:r>
      <w:r w:rsidRPr="00BA44CD">
        <w:lastRenderedPageBreak/>
        <w:t xml:space="preserve">Except for gender, course demographics appear to be comparable to those of the institution.  The course was offered in traditional and online formats.  </w:t>
      </w:r>
    </w:p>
    <w:p w14:paraId="38B8C403" w14:textId="77777777" w:rsidR="00384F3E" w:rsidRDefault="00384F3E" w:rsidP="00D94492">
      <w:pPr>
        <w:spacing w:line="360" w:lineRule="auto"/>
      </w:pPr>
    </w:p>
    <w:p w14:paraId="104993D8" w14:textId="3AF65C4D" w:rsidR="00384F3E" w:rsidRDefault="00384F3E" w:rsidP="00D94492">
      <w:pPr>
        <w:spacing w:line="360" w:lineRule="auto"/>
      </w:pPr>
      <w:r w:rsidRPr="00BA44CD">
        <w:t>Table 1 below describes the participants by ethnicity, gender, age, and format.  Because of the relatively small numbers of self-identified Hispanics, Native Americans, Asians, African Americans, and Pacific Islanders, they were collapsed into one group for analysis.</w:t>
      </w:r>
      <w:r>
        <w:t xml:space="preserve"> While this results in a loss of information, it has been done in other studies (</w:t>
      </w:r>
      <w:r w:rsidRPr="00BA44CD">
        <w:t xml:space="preserve">Kohli, Peng &amp; Mittal, 2011; Rochelle &amp; </w:t>
      </w:r>
      <w:proofErr w:type="spellStart"/>
      <w:r w:rsidRPr="00BA44CD">
        <w:t>Dotterweich</w:t>
      </w:r>
      <w:proofErr w:type="spellEnd"/>
      <w:r w:rsidRPr="00BA44CD">
        <w:t>, 2007</w:t>
      </w:r>
      <w:r>
        <w:t>).</w:t>
      </w:r>
    </w:p>
    <w:p w14:paraId="183FD210" w14:textId="636A6C5A" w:rsidR="00352395" w:rsidRDefault="00352395" w:rsidP="00D94492">
      <w:pPr>
        <w:spacing w:line="360" w:lineRule="auto"/>
      </w:pPr>
    </w:p>
    <w:p w14:paraId="04CBAFE9" w14:textId="77777777" w:rsidR="00352395" w:rsidRDefault="00352395" w:rsidP="00D94492">
      <w:pPr>
        <w:spacing w:line="360" w:lineRule="auto"/>
      </w:pPr>
    </w:p>
    <w:p w14:paraId="17520DC8" w14:textId="77777777" w:rsidR="00384F3E" w:rsidRDefault="00384F3E" w:rsidP="00384F3E"/>
    <w:p w14:paraId="65EFA706" w14:textId="77777777" w:rsidR="00291938" w:rsidRPr="00BA44CD" w:rsidRDefault="00291938" w:rsidP="00257852">
      <w:pPr>
        <w:spacing w:line="360" w:lineRule="auto"/>
        <w:jc w:val="center"/>
      </w:pPr>
      <w:r w:rsidRPr="00BA44CD">
        <w:t>Table 1.</w:t>
      </w:r>
      <w:r>
        <w:t xml:space="preserve"> Frequencies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170"/>
        <w:gridCol w:w="1530"/>
        <w:gridCol w:w="1376"/>
        <w:gridCol w:w="1890"/>
      </w:tblGrid>
      <w:tr w:rsidR="00291938" w:rsidRPr="00BA44CD" w14:paraId="7F7193E7" w14:textId="77777777" w:rsidTr="00384F3E">
        <w:tc>
          <w:tcPr>
            <w:tcW w:w="2700" w:type="dxa"/>
            <w:tcBorders>
              <w:top w:val="single" w:sz="4" w:space="0" w:color="auto"/>
              <w:bottom w:val="single" w:sz="4" w:space="0" w:color="auto"/>
            </w:tcBorders>
          </w:tcPr>
          <w:p w14:paraId="35E77FA0" w14:textId="77777777" w:rsidR="00291938" w:rsidRPr="00BA44CD" w:rsidRDefault="00291938" w:rsidP="00257852">
            <w:pPr>
              <w:spacing w:line="360" w:lineRule="auto"/>
              <w:jc w:val="center"/>
            </w:pPr>
            <w:r w:rsidRPr="00BA44CD">
              <w:t>Fixed Effects</w:t>
            </w:r>
          </w:p>
        </w:tc>
        <w:tc>
          <w:tcPr>
            <w:tcW w:w="1170" w:type="dxa"/>
            <w:tcBorders>
              <w:top w:val="single" w:sz="4" w:space="0" w:color="auto"/>
              <w:bottom w:val="single" w:sz="4" w:space="0" w:color="auto"/>
            </w:tcBorders>
          </w:tcPr>
          <w:p w14:paraId="0D17ECED" w14:textId="77777777" w:rsidR="00291938" w:rsidRPr="00BA44CD" w:rsidRDefault="00291938" w:rsidP="00257852">
            <w:pPr>
              <w:spacing w:line="360" w:lineRule="auto"/>
              <w:jc w:val="center"/>
            </w:pPr>
            <w:r w:rsidRPr="00BA44CD">
              <w:t>Successful</w:t>
            </w:r>
          </w:p>
        </w:tc>
        <w:tc>
          <w:tcPr>
            <w:tcW w:w="1530" w:type="dxa"/>
            <w:tcBorders>
              <w:top w:val="single" w:sz="4" w:space="0" w:color="auto"/>
              <w:bottom w:val="single" w:sz="4" w:space="0" w:color="auto"/>
            </w:tcBorders>
          </w:tcPr>
          <w:p w14:paraId="69E904BB" w14:textId="77777777" w:rsidR="00291938" w:rsidRPr="00BA44CD" w:rsidRDefault="00291938" w:rsidP="00257852">
            <w:pPr>
              <w:spacing w:line="360" w:lineRule="auto"/>
              <w:jc w:val="center"/>
            </w:pPr>
            <w:r w:rsidRPr="00BA44CD">
              <w:t>% Successful</w:t>
            </w:r>
          </w:p>
        </w:tc>
        <w:tc>
          <w:tcPr>
            <w:tcW w:w="1376" w:type="dxa"/>
            <w:tcBorders>
              <w:top w:val="single" w:sz="4" w:space="0" w:color="auto"/>
              <w:bottom w:val="single" w:sz="4" w:space="0" w:color="auto"/>
            </w:tcBorders>
          </w:tcPr>
          <w:p w14:paraId="2B676276" w14:textId="77777777" w:rsidR="00291938" w:rsidRPr="00BA44CD" w:rsidRDefault="00291938" w:rsidP="00257852">
            <w:pPr>
              <w:spacing w:line="360" w:lineRule="auto"/>
              <w:jc w:val="center"/>
            </w:pPr>
            <w:r w:rsidRPr="00BA44CD">
              <w:t>Unsuccessful</w:t>
            </w:r>
          </w:p>
        </w:tc>
        <w:tc>
          <w:tcPr>
            <w:tcW w:w="1890" w:type="dxa"/>
            <w:tcBorders>
              <w:top w:val="single" w:sz="4" w:space="0" w:color="auto"/>
              <w:bottom w:val="single" w:sz="4" w:space="0" w:color="auto"/>
            </w:tcBorders>
          </w:tcPr>
          <w:p w14:paraId="38390B41" w14:textId="77777777" w:rsidR="00291938" w:rsidRPr="00BA44CD" w:rsidRDefault="00291938" w:rsidP="00257852">
            <w:pPr>
              <w:spacing w:line="360" w:lineRule="auto"/>
              <w:jc w:val="center"/>
            </w:pPr>
            <w:r w:rsidRPr="00BA44CD">
              <w:t>% Unsuccessful</w:t>
            </w:r>
          </w:p>
        </w:tc>
      </w:tr>
      <w:tr w:rsidR="00291938" w:rsidRPr="00BA44CD" w14:paraId="29AB7453" w14:textId="77777777" w:rsidTr="00384F3E">
        <w:tc>
          <w:tcPr>
            <w:tcW w:w="2700" w:type="dxa"/>
            <w:tcBorders>
              <w:top w:val="single" w:sz="4" w:space="0" w:color="auto"/>
              <w:bottom w:val="nil"/>
            </w:tcBorders>
          </w:tcPr>
          <w:p w14:paraId="4343F636" w14:textId="77777777" w:rsidR="00291938" w:rsidRPr="00BA44CD" w:rsidRDefault="00291938" w:rsidP="00257852">
            <w:pPr>
              <w:spacing w:line="360" w:lineRule="auto"/>
              <w:jc w:val="center"/>
            </w:pPr>
            <w:r w:rsidRPr="00BA44CD">
              <w:t xml:space="preserve">Ethnicity </w:t>
            </w:r>
          </w:p>
        </w:tc>
        <w:tc>
          <w:tcPr>
            <w:tcW w:w="1170" w:type="dxa"/>
            <w:tcBorders>
              <w:top w:val="single" w:sz="4" w:space="0" w:color="auto"/>
              <w:bottom w:val="nil"/>
            </w:tcBorders>
          </w:tcPr>
          <w:p w14:paraId="214941AC" w14:textId="77777777" w:rsidR="00291938" w:rsidRPr="00BA44CD" w:rsidRDefault="00291938" w:rsidP="00257852">
            <w:pPr>
              <w:spacing w:line="360" w:lineRule="auto"/>
              <w:jc w:val="center"/>
            </w:pPr>
          </w:p>
        </w:tc>
        <w:tc>
          <w:tcPr>
            <w:tcW w:w="1530" w:type="dxa"/>
            <w:tcBorders>
              <w:top w:val="single" w:sz="4" w:space="0" w:color="auto"/>
              <w:bottom w:val="nil"/>
            </w:tcBorders>
          </w:tcPr>
          <w:p w14:paraId="126924FA" w14:textId="77777777" w:rsidR="00291938" w:rsidRPr="00BA44CD" w:rsidRDefault="00291938" w:rsidP="00257852">
            <w:pPr>
              <w:spacing w:line="360" w:lineRule="auto"/>
              <w:jc w:val="center"/>
            </w:pPr>
          </w:p>
        </w:tc>
        <w:tc>
          <w:tcPr>
            <w:tcW w:w="1376" w:type="dxa"/>
            <w:tcBorders>
              <w:top w:val="single" w:sz="4" w:space="0" w:color="auto"/>
              <w:bottom w:val="nil"/>
            </w:tcBorders>
          </w:tcPr>
          <w:p w14:paraId="66BC34DA" w14:textId="77777777" w:rsidR="00291938" w:rsidRPr="00BA44CD" w:rsidRDefault="00291938" w:rsidP="00257852">
            <w:pPr>
              <w:spacing w:line="360" w:lineRule="auto"/>
              <w:jc w:val="center"/>
            </w:pPr>
          </w:p>
        </w:tc>
        <w:tc>
          <w:tcPr>
            <w:tcW w:w="1890" w:type="dxa"/>
            <w:tcBorders>
              <w:top w:val="single" w:sz="4" w:space="0" w:color="auto"/>
              <w:bottom w:val="nil"/>
            </w:tcBorders>
          </w:tcPr>
          <w:p w14:paraId="5D448B93" w14:textId="77777777" w:rsidR="00291938" w:rsidRPr="00BA44CD" w:rsidRDefault="00291938" w:rsidP="00257852">
            <w:pPr>
              <w:spacing w:line="360" w:lineRule="auto"/>
              <w:jc w:val="center"/>
            </w:pPr>
          </w:p>
        </w:tc>
      </w:tr>
      <w:tr w:rsidR="00291938" w:rsidRPr="00BA44CD" w14:paraId="3DB0F7B2" w14:textId="77777777" w:rsidTr="00384F3E">
        <w:tc>
          <w:tcPr>
            <w:tcW w:w="2700" w:type="dxa"/>
            <w:tcBorders>
              <w:top w:val="nil"/>
            </w:tcBorders>
          </w:tcPr>
          <w:p w14:paraId="319A598A" w14:textId="77777777" w:rsidR="00291938" w:rsidRPr="00BA44CD" w:rsidRDefault="00291938" w:rsidP="00257852">
            <w:pPr>
              <w:spacing w:line="360" w:lineRule="auto"/>
            </w:pPr>
            <w:r w:rsidRPr="00BA44CD">
              <w:t>Caucasian</w:t>
            </w:r>
          </w:p>
        </w:tc>
        <w:tc>
          <w:tcPr>
            <w:tcW w:w="1170" w:type="dxa"/>
            <w:tcBorders>
              <w:top w:val="nil"/>
            </w:tcBorders>
          </w:tcPr>
          <w:p w14:paraId="0969BE41" w14:textId="77777777" w:rsidR="00291938" w:rsidRPr="00BA44CD" w:rsidRDefault="00291938" w:rsidP="00257852">
            <w:pPr>
              <w:spacing w:line="360" w:lineRule="auto"/>
              <w:jc w:val="center"/>
            </w:pPr>
            <w:r w:rsidRPr="00BA44CD">
              <w:t>594</w:t>
            </w:r>
          </w:p>
        </w:tc>
        <w:tc>
          <w:tcPr>
            <w:tcW w:w="1530" w:type="dxa"/>
            <w:tcBorders>
              <w:top w:val="nil"/>
            </w:tcBorders>
          </w:tcPr>
          <w:p w14:paraId="38B48327" w14:textId="77777777" w:rsidR="00291938" w:rsidRPr="00BA44CD" w:rsidRDefault="00291938" w:rsidP="00257852">
            <w:pPr>
              <w:spacing w:line="360" w:lineRule="auto"/>
              <w:jc w:val="center"/>
            </w:pPr>
            <w:r w:rsidRPr="00BA44CD">
              <w:t>62.3 %</w:t>
            </w:r>
          </w:p>
        </w:tc>
        <w:tc>
          <w:tcPr>
            <w:tcW w:w="1376" w:type="dxa"/>
            <w:tcBorders>
              <w:top w:val="nil"/>
            </w:tcBorders>
          </w:tcPr>
          <w:p w14:paraId="00184A36" w14:textId="77777777" w:rsidR="00291938" w:rsidRPr="00BA44CD" w:rsidRDefault="00291938" w:rsidP="00257852">
            <w:pPr>
              <w:spacing w:line="360" w:lineRule="auto"/>
              <w:jc w:val="center"/>
            </w:pPr>
            <w:r w:rsidRPr="00BA44CD">
              <w:t>93</w:t>
            </w:r>
          </w:p>
        </w:tc>
        <w:tc>
          <w:tcPr>
            <w:tcW w:w="1890" w:type="dxa"/>
            <w:tcBorders>
              <w:top w:val="nil"/>
            </w:tcBorders>
          </w:tcPr>
          <w:p w14:paraId="3EE3A154" w14:textId="77777777" w:rsidR="00291938" w:rsidRPr="00BA44CD" w:rsidRDefault="00291938" w:rsidP="00257852">
            <w:pPr>
              <w:spacing w:line="360" w:lineRule="auto"/>
              <w:jc w:val="center"/>
            </w:pPr>
            <w:r w:rsidRPr="00BA44CD">
              <w:t>9.7 %</w:t>
            </w:r>
          </w:p>
        </w:tc>
      </w:tr>
      <w:tr w:rsidR="00291938" w:rsidRPr="00BA44CD" w14:paraId="191E4C92" w14:textId="77777777" w:rsidTr="00384F3E">
        <w:tc>
          <w:tcPr>
            <w:tcW w:w="2700" w:type="dxa"/>
          </w:tcPr>
          <w:p w14:paraId="491B4985" w14:textId="77777777" w:rsidR="00291938" w:rsidRPr="00BA44CD" w:rsidRDefault="00291938" w:rsidP="00257852">
            <w:pPr>
              <w:spacing w:line="360" w:lineRule="auto"/>
            </w:pPr>
            <w:r w:rsidRPr="00BA44CD">
              <w:t>Hispanic</w:t>
            </w:r>
            <w:r w:rsidRPr="00BA44CD">
              <w:rPr>
                <w:vertAlign w:val="superscript"/>
              </w:rPr>
              <w:t>*</w:t>
            </w:r>
          </w:p>
        </w:tc>
        <w:tc>
          <w:tcPr>
            <w:tcW w:w="1170" w:type="dxa"/>
          </w:tcPr>
          <w:p w14:paraId="36E055B3" w14:textId="77777777" w:rsidR="00291938" w:rsidRPr="00BA44CD" w:rsidRDefault="00291938" w:rsidP="00257852">
            <w:pPr>
              <w:spacing w:line="360" w:lineRule="auto"/>
              <w:jc w:val="center"/>
            </w:pPr>
            <w:r w:rsidRPr="00BA44CD">
              <w:t>117</w:t>
            </w:r>
          </w:p>
        </w:tc>
        <w:tc>
          <w:tcPr>
            <w:tcW w:w="1530" w:type="dxa"/>
          </w:tcPr>
          <w:p w14:paraId="57447A75" w14:textId="77777777" w:rsidR="00291938" w:rsidRPr="00BA44CD" w:rsidRDefault="00291938" w:rsidP="00257852">
            <w:pPr>
              <w:spacing w:line="360" w:lineRule="auto"/>
              <w:jc w:val="center"/>
            </w:pPr>
            <w:r w:rsidRPr="00BA44CD">
              <w:t>12.3 %</w:t>
            </w:r>
          </w:p>
        </w:tc>
        <w:tc>
          <w:tcPr>
            <w:tcW w:w="1376" w:type="dxa"/>
          </w:tcPr>
          <w:p w14:paraId="791AD0D0" w14:textId="77777777" w:rsidR="00291938" w:rsidRPr="00BA44CD" w:rsidRDefault="00291938" w:rsidP="00257852">
            <w:pPr>
              <w:spacing w:line="360" w:lineRule="auto"/>
              <w:jc w:val="center"/>
            </w:pPr>
            <w:r w:rsidRPr="00BA44CD">
              <w:t>22</w:t>
            </w:r>
          </w:p>
        </w:tc>
        <w:tc>
          <w:tcPr>
            <w:tcW w:w="1890" w:type="dxa"/>
          </w:tcPr>
          <w:p w14:paraId="14C9B480" w14:textId="77777777" w:rsidR="00291938" w:rsidRPr="00BA44CD" w:rsidRDefault="00291938" w:rsidP="00257852">
            <w:pPr>
              <w:spacing w:line="360" w:lineRule="auto"/>
              <w:jc w:val="center"/>
            </w:pPr>
            <w:r w:rsidRPr="00BA44CD">
              <w:t>2.3 %</w:t>
            </w:r>
          </w:p>
        </w:tc>
      </w:tr>
      <w:tr w:rsidR="00291938" w:rsidRPr="00BA44CD" w14:paraId="1AA72242" w14:textId="77777777" w:rsidTr="00384F3E">
        <w:tc>
          <w:tcPr>
            <w:tcW w:w="2700" w:type="dxa"/>
          </w:tcPr>
          <w:p w14:paraId="3A6C4E1D" w14:textId="77777777" w:rsidR="00291938" w:rsidRPr="00BA44CD" w:rsidRDefault="00291938" w:rsidP="00257852">
            <w:pPr>
              <w:spacing w:line="360" w:lineRule="auto"/>
            </w:pPr>
            <w:r w:rsidRPr="00BA44CD">
              <w:t>Native American</w:t>
            </w:r>
            <w:r w:rsidRPr="00BA44CD">
              <w:rPr>
                <w:vertAlign w:val="superscript"/>
              </w:rPr>
              <w:t>*</w:t>
            </w:r>
          </w:p>
        </w:tc>
        <w:tc>
          <w:tcPr>
            <w:tcW w:w="1170" w:type="dxa"/>
          </w:tcPr>
          <w:p w14:paraId="67FD768A" w14:textId="77777777" w:rsidR="00291938" w:rsidRPr="00BA44CD" w:rsidRDefault="00291938" w:rsidP="00257852">
            <w:pPr>
              <w:spacing w:line="360" w:lineRule="auto"/>
              <w:jc w:val="center"/>
            </w:pPr>
            <w:r w:rsidRPr="00BA44CD">
              <w:t>12</w:t>
            </w:r>
          </w:p>
        </w:tc>
        <w:tc>
          <w:tcPr>
            <w:tcW w:w="1530" w:type="dxa"/>
          </w:tcPr>
          <w:p w14:paraId="01B97B55" w14:textId="77777777" w:rsidR="00291938" w:rsidRPr="00BA44CD" w:rsidRDefault="00291938" w:rsidP="00257852">
            <w:pPr>
              <w:spacing w:line="360" w:lineRule="auto"/>
              <w:jc w:val="center"/>
            </w:pPr>
            <w:r w:rsidRPr="00BA44CD">
              <w:t>1.2 %</w:t>
            </w:r>
          </w:p>
        </w:tc>
        <w:tc>
          <w:tcPr>
            <w:tcW w:w="1376" w:type="dxa"/>
          </w:tcPr>
          <w:p w14:paraId="43BD0E45" w14:textId="77777777" w:rsidR="00291938" w:rsidRPr="00BA44CD" w:rsidRDefault="00291938" w:rsidP="00257852">
            <w:pPr>
              <w:spacing w:line="360" w:lineRule="auto"/>
              <w:jc w:val="center"/>
            </w:pPr>
            <w:r w:rsidRPr="00BA44CD">
              <w:t>8</w:t>
            </w:r>
          </w:p>
        </w:tc>
        <w:tc>
          <w:tcPr>
            <w:tcW w:w="1890" w:type="dxa"/>
          </w:tcPr>
          <w:p w14:paraId="46D95538" w14:textId="77777777" w:rsidR="00291938" w:rsidRPr="00BA44CD" w:rsidRDefault="00291938" w:rsidP="00257852">
            <w:pPr>
              <w:spacing w:line="360" w:lineRule="auto"/>
              <w:jc w:val="center"/>
            </w:pPr>
            <w:r w:rsidRPr="00BA44CD">
              <w:t>0.8 %</w:t>
            </w:r>
          </w:p>
        </w:tc>
      </w:tr>
      <w:tr w:rsidR="00291938" w:rsidRPr="00BA44CD" w14:paraId="5B7F740F" w14:textId="77777777" w:rsidTr="00384F3E">
        <w:tc>
          <w:tcPr>
            <w:tcW w:w="2700" w:type="dxa"/>
          </w:tcPr>
          <w:p w14:paraId="18D9FA72" w14:textId="77777777" w:rsidR="00291938" w:rsidRPr="00BA44CD" w:rsidRDefault="00291938" w:rsidP="00257852">
            <w:pPr>
              <w:spacing w:line="360" w:lineRule="auto"/>
            </w:pPr>
            <w:r w:rsidRPr="00BA44CD">
              <w:t>Asian</w:t>
            </w:r>
            <w:r w:rsidRPr="00BA44CD">
              <w:rPr>
                <w:vertAlign w:val="superscript"/>
              </w:rPr>
              <w:t>*</w:t>
            </w:r>
          </w:p>
        </w:tc>
        <w:tc>
          <w:tcPr>
            <w:tcW w:w="1170" w:type="dxa"/>
          </w:tcPr>
          <w:p w14:paraId="7D69B14A" w14:textId="77777777" w:rsidR="00291938" w:rsidRPr="00BA44CD" w:rsidRDefault="00291938" w:rsidP="00257852">
            <w:pPr>
              <w:spacing w:line="360" w:lineRule="auto"/>
              <w:jc w:val="center"/>
            </w:pPr>
            <w:r w:rsidRPr="00BA44CD">
              <w:t>38</w:t>
            </w:r>
          </w:p>
        </w:tc>
        <w:tc>
          <w:tcPr>
            <w:tcW w:w="1530" w:type="dxa"/>
          </w:tcPr>
          <w:p w14:paraId="5AC367D5" w14:textId="77777777" w:rsidR="00291938" w:rsidRPr="00BA44CD" w:rsidRDefault="00291938" w:rsidP="00257852">
            <w:pPr>
              <w:spacing w:line="360" w:lineRule="auto"/>
              <w:jc w:val="center"/>
            </w:pPr>
            <w:r w:rsidRPr="00BA44CD">
              <w:t>4.0 %</w:t>
            </w:r>
          </w:p>
        </w:tc>
        <w:tc>
          <w:tcPr>
            <w:tcW w:w="1376" w:type="dxa"/>
          </w:tcPr>
          <w:p w14:paraId="15732B47" w14:textId="77777777" w:rsidR="00291938" w:rsidRPr="00BA44CD" w:rsidRDefault="00291938" w:rsidP="00257852">
            <w:pPr>
              <w:spacing w:line="360" w:lineRule="auto"/>
              <w:jc w:val="center"/>
            </w:pPr>
            <w:r w:rsidRPr="00BA44CD">
              <w:t>7</w:t>
            </w:r>
          </w:p>
        </w:tc>
        <w:tc>
          <w:tcPr>
            <w:tcW w:w="1890" w:type="dxa"/>
          </w:tcPr>
          <w:p w14:paraId="7E4FEE8C" w14:textId="77777777" w:rsidR="00291938" w:rsidRPr="00BA44CD" w:rsidRDefault="00291938" w:rsidP="00257852">
            <w:pPr>
              <w:spacing w:line="360" w:lineRule="auto"/>
              <w:jc w:val="center"/>
            </w:pPr>
            <w:r w:rsidRPr="00BA44CD">
              <w:t>0.7 %</w:t>
            </w:r>
          </w:p>
        </w:tc>
      </w:tr>
      <w:tr w:rsidR="00291938" w:rsidRPr="00BA44CD" w14:paraId="28165BE5" w14:textId="77777777" w:rsidTr="00384F3E">
        <w:tc>
          <w:tcPr>
            <w:tcW w:w="2700" w:type="dxa"/>
          </w:tcPr>
          <w:p w14:paraId="43943F63" w14:textId="77777777" w:rsidR="00291938" w:rsidRPr="00BA44CD" w:rsidRDefault="00291938" w:rsidP="00257852">
            <w:pPr>
              <w:spacing w:line="360" w:lineRule="auto"/>
            </w:pPr>
            <w:r w:rsidRPr="00BA44CD">
              <w:t>African American</w:t>
            </w:r>
            <w:r w:rsidRPr="00BA44CD">
              <w:rPr>
                <w:vertAlign w:val="superscript"/>
              </w:rPr>
              <w:t>*</w:t>
            </w:r>
          </w:p>
        </w:tc>
        <w:tc>
          <w:tcPr>
            <w:tcW w:w="1170" w:type="dxa"/>
          </w:tcPr>
          <w:p w14:paraId="29508DEF" w14:textId="77777777" w:rsidR="00291938" w:rsidRPr="00BA44CD" w:rsidRDefault="00291938" w:rsidP="00257852">
            <w:pPr>
              <w:spacing w:line="360" w:lineRule="auto"/>
              <w:jc w:val="center"/>
            </w:pPr>
            <w:r w:rsidRPr="00BA44CD">
              <w:t>37</w:t>
            </w:r>
          </w:p>
        </w:tc>
        <w:tc>
          <w:tcPr>
            <w:tcW w:w="1530" w:type="dxa"/>
          </w:tcPr>
          <w:p w14:paraId="1261E2EB" w14:textId="77777777" w:rsidR="00291938" w:rsidRPr="00BA44CD" w:rsidRDefault="00291938" w:rsidP="00257852">
            <w:pPr>
              <w:spacing w:line="360" w:lineRule="auto"/>
              <w:jc w:val="center"/>
            </w:pPr>
            <w:r w:rsidRPr="00BA44CD">
              <w:t>3.9 %</w:t>
            </w:r>
          </w:p>
        </w:tc>
        <w:tc>
          <w:tcPr>
            <w:tcW w:w="1376" w:type="dxa"/>
          </w:tcPr>
          <w:p w14:paraId="504B03B9" w14:textId="77777777" w:rsidR="00291938" w:rsidRPr="00BA44CD" w:rsidRDefault="00291938" w:rsidP="00257852">
            <w:pPr>
              <w:spacing w:line="360" w:lineRule="auto"/>
              <w:jc w:val="center"/>
            </w:pPr>
            <w:r w:rsidRPr="00BA44CD">
              <w:t>12</w:t>
            </w:r>
          </w:p>
        </w:tc>
        <w:tc>
          <w:tcPr>
            <w:tcW w:w="1890" w:type="dxa"/>
          </w:tcPr>
          <w:p w14:paraId="68DAAC71" w14:textId="77777777" w:rsidR="00291938" w:rsidRPr="00BA44CD" w:rsidRDefault="00291938" w:rsidP="00257852">
            <w:pPr>
              <w:spacing w:line="360" w:lineRule="auto"/>
              <w:jc w:val="center"/>
            </w:pPr>
            <w:r w:rsidRPr="00BA44CD">
              <w:t xml:space="preserve">1.3 % </w:t>
            </w:r>
          </w:p>
        </w:tc>
      </w:tr>
      <w:tr w:rsidR="00291938" w:rsidRPr="00BA44CD" w14:paraId="425531AC" w14:textId="77777777" w:rsidTr="00384F3E">
        <w:tc>
          <w:tcPr>
            <w:tcW w:w="2700" w:type="dxa"/>
          </w:tcPr>
          <w:p w14:paraId="7CD028CB" w14:textId="77777777" w:rsidR="00291938" w:rsidRPr="00BA44CD" w:rsidRDefault="00291938" w:rsidP="00257852">
            <w:pPr>
              <w:spacing w:line="360" w:lineRule="auto"/>
            </w:pPr>
            <w:r w:rsidRPr="00BA44CD">
              <w:t>Pacific Islander</w:t>
            </w:r>
            <w:r w:rsidRPr="00BA44CD">
              <w:rPr>
                <w:vertAlign w:val="superscript"/>
              </w:rPr>
              <w:t>*</w:t>
            </w:r>
          </w:p>
        </w:tc>
        <w:tc>
          <w:tcPr>
            <w:tcW w:w="1170" w:type="dxa"/>
          </w:tcPr>
          <w:p w14:paraId="58B9F452" w14:textId="77777777" w:rsidR="00291938" w:rsidRPr="00BA44CD" w:rsidRDefault="00291938" w:rsidP="00257852">
            <w:pPr>
              <w:spacing w:line="360" w:lineRule="auto"/>
              <w:jc w:val="center"/>
            </w:pPr>
            <w:r w:rsidRPr="00BA44CD">
              <w:t>7</w:t>
            </w:r>
          </w:p>
        </w:tc>
        <w:tc>
          <w:tcPr>
            <w:tcW w:w="1530" w:type="dxa"/>
          </w:tcPr>
          <w:p w14:paraId="70DEE24D" w14:textId="77777777" w:rsidR="00291938" w:rsidRPr="00BA44CD" w:rsidRDefault="00291938" w:rsidP="00257852">
            <w:pPr>
              <w:spacing w:line="360" w:lineRule="auto"/>
              <w:jc w:val="center"/>
            </w:pPr>
            <w:r w:rsidRPr="00BA44CD">
              <w:t>0.7 %</w:t>
            </w:r>
          </w:p>
        </w:tc>
        <w:tc>
          <w:tcPr>
            <w:tcW w:w="1376" w:type="dxa"/>
          </w:tcPr>
          <w:p w14:paraId="319C8F1F" w14:textId="77777777" w:rsidR="00291938" w:rsidRPr="00BA44CD" w:rsidRDefault="00291938" w:rsidP="00257852">
            <w:pPr>
              <w:spacing w:line="360" w:lineRule="auto"/>
              <w:jc w:val="center"/>
            </w:pPr>
            <w:r w:rsidRPr="00BA44CD">
              <w:t>6</w:t>
            </w:r>
          </w:p>
        </w:tc>
        <w:tc>
          <w:tcPr>
            <w:tcW w:w="1890" w:type="dxa"/>
          </w:tcPr>
          <w:p w14:paraId="5E2B6882" w14:textId="77777777" w:rsidR="00291938" w:rsidRPr="00BA44CD" w:rsidRDefault="00291938" w:rsidP="00257852">
            <w:pPr>
              <w:spacing w:line="360" w:lineRule="auto"/>
              <w:jc w:val="center"/>
            </w:pPr>
            <w:r w:rsidRPr="00BA44CD">
              <w:t>0.6 %</w:t>
            </w:r>
          </w:p>
        </w:tc>
      </w:tr>
      <w:tr w:rsidR="00291938" w:rsidRPr="00BA44CD" w14:paraId="2AE5D920" w14:textId="77777777" w:rsidTr="00384F3E">
        <w:tc>
          <w:tcPr>
            <w:tcW w:w="2700" w:type="dxa"/>
          </w:tcPr>
          <w:p w14:paraId="595F6348" w14:textId="77777777" w:rsidR="00291938" w:rsidRPr="00BA44CD" w:rsidRDefault="00291938" w:rsidP="00257852">
            <w:pPr>
              <w:spacing w:line="360" w:lineRule="auto"/>
              <w:jc w:val="center"/>
            </w:pPr>
            <w:r w:rsidRPr="00BA44CD">
              <w:t xml:space="preserve">Gender </w:t>
            </w:r>
          </w:p>
        </w:tc>
        <w:tc>
          <w:tcPr>
            <w:tcW w:w="1170" w:type="dxa"/>
          </w:tcPr>
          <w:p w14:paraId="3B70AC28" w14:textId="77777777" w:rsidR="00291938" w:rsidRPr="00BA44CD" w:rsidRDefault="00291938" w:rsidP="00257852">
            <w:pPr>
              <w:spacing w:line="360" w:lineRule="auto"/>
              <w:jc w:val="center"/>
            </w:pPr>
          </w:p>
        </w:tc>
        <w:tc>
          <w:tcPr>
            <w:tcW w:w="1530" w:type="dxa"/>
          </w:tcPr>
          <w:p w14:paraId="6C893CB1" w14:textId="77777777" w:rsidR="00291938" w:rsidRPr="00BA44CD" w:rsidRDefault="00291938" w:rsidP="00257852">
            <w:pPr>
              <w:spacing w:line="360" w:lineRule="auto"/>
              <w:jc w:val="center"/>
            </w:pPr>
          </w:p>
        </w:tc>
        <w:tc>
          <w:tcPr>
            <w:tcW w:w="1376" w:type="dxa"/>
          </w:tcPr>
          <w:p w14:paraId="67EA3B0C" w14:textId="77777777" w:rsidR="00291938" w:rsidRPr="00BA44CD" w:rsidRDefault="00291938" w:rsidP="00257852">
            <w:pPr>
              <w:spacing w:line="360" w:lineRule="auto"/>
              <w:jc w:val="center"/>
            </w:pPr>
          </w:p>
        </w:tc>
        <w:tc>
          <w:tcPr>
            <w:tcW w:w="1890" w:type="dxa"/>
          </w:tcPr>
          <w:p w14:paraId="1FE8392B" w14:textId="77777777" w:rsidR="00291938" w:rsidRPr="00BA44CD" w:rsidRDefault="00291938" w:rsidP="00257852">
            <w:pPr>
              <w:spacing w:line="360" w:lineRule="auto"/>
              <w:jc w:val="center"/>
            </w:pPr>
          </w:p>
        </w:tc>
      </w:tr>
      <w:tr w:rsidR="00291938" w:rsidRPr="00BA44CD" w14:paraId="1868F9AF" w14:textId="77777777" w:rsidTr="00384F3E">
        <w:tc>
          <w:tcPr>
            <w:tcW w:w="2700" w:type="dxa"/>
          </w:tcPr>
          <w:p w14:paraId="4EC7646F" w14:textId="77777777" w:rsidR="00291938" w:rsidRPr="00BA44CD" w:rsidRDefault="00291938" w:rsidP="00257852">
            <w:pPr>
              <w:spacing w:line="360" w:lineRule="auto"/>
            </w:pPr>
            <w:r w:rsidRPr="00BA44CD">
              <w:t>Female</w:t>
            </w:r>
          </w:p>
        </w:tc>
        <w:tc>
          <w:tcPr>
            <w:tcW w:w="1170" w:type="dxa"/>
          </w:tcPr>
          <w:p w14:paraId="5264DEEC" w14:textId="77777777" w:rsidR="00291938" w:rsidRPr="00BA44CD" w:rsidRDefault="00291938" w:rsidP="00257852">
            <w:pPr>
              <w:spacing w:line="360" w:lineRule="auto"/>
              <w:jc w:val="center"/>
            </w:pPr>
            <w:r w:rsidRPr="00BA44CD">
              <w:t>599</w:t>
            </w:r>
          </w:p>
        </w:tc>
        <w:tc>
          <w:tcPr>
            <w:tcW w:w="1530" w:type="dxa"/>
          </w:tcPr>
          <w:p w14:paraId="02C8F375" w14:textId="77777777" w:rsidR="00291938" w:rsidRPr="00BA44CD" w:rsidRDefault="00291938" w:rsidP="00257852">
            <w:pPr>
              <w:spacing w:line="360" w:lineRule="auto"/>
              <w:jc w:val="center"/>
            </w:pPr>
            <w:r w:rsidRPr="00BA44CD">
              <w:t>62.8 %</w:t>
            </w:r>
          </w:p>
        </w:tc>
        <w:tc>
          <w:tcPr>
            <w:tcW w:w="1376" w:type="dxa"/>
          </w:tcPr>
          <w:p w14:paraId="72307C4F" w14:textId="77777777" w:rsidR="00291938" w:rsidRPr="00BA44CD" w:rsidRDefault="00291938" w:rsidP="00257852">
            <w:pPr>
              <w:spacing w:line="360" w:lineRule="auto"/>
              <w:jc w:val="center"/>
            </w:pPr>
            <w:r w:rsidRPr="00BA44CD">
              <w:t>106</w:t>
            </w:r>
          </w:p>
        </w:tc>
        <w:tc>
          <w:tcPr>
            <w:tcW w:w="1890" w:type="dxa"/>
          </w:tcPr>
          <w:p w14:paraId="491DD45E" w14:textId="77777777" w:rsidR="00291938" w:rsidRPr="00BA44CD" w:rsidRDefault="00291938" w:rsidP="00257852">
            <w:pPr>
              <w:spacing w:line="360" w:lineRule="auto"/>
              <w:jc w:val="center"/>
            </w:pPr>
            <w:r w:rsidRPr="00BA44CD">
              <w:t>11.1 %</w:t>
            </w:r>
          </w:p>
        </w:tc>
      </w:tr>
      <w:tr w:rsidR="00291938" w:rsidRPr="00BA44CD" w14:paraId="3CEA77D7" w14:textId="77777777" w:rsidTr="00384F3E">
        <w:tc>
          <w:tcPr>
            <w:tcW w:w="2700" w:type="dxa"/>
          </w:tcPr>
          <w:p w14:paraId="0E3F78C2" w14:textId="77777777" w:rsidR="00291938" w:rsidRPr="00BA44CD" w:rsidRDefault="00291938" w:rsidP="00257852">
            <w:pPr>
              <w:spacing w:line="360" w:lineRule="auto"/>
            </w:pPr>
            <w:r w:rsidRPr="00BA44CD">
              <w:t>Male</w:t>
            </w:r>
          </w:p>
        </w:tc>
        <w:tc>
          <w:tcPr>
            <w:tcW w:w="1170" w:type="dxa"/>
          </w:tcPr>
          <w:p w14:paraId="34085736" w14:textId="77777777" w:rsidR="00291938" w:rsidRPr="00BA44CD" w:rsidRDefault="00291938" w:rsidP="00257852">
            <w:pPr>
              <w:spacing w:line="360" w:lineRule="auto"/>
              <w:jc w:val="center"/>
            </w:pPr>
            <w:r w:rsidRPr="00BA44CD">
              <w:t>206</w:t>
            </w:r>
          </w:p>
        </w:tc>
        <w:tc>
          <w:tcPr>
            <w:tcW w:w="1530" w:type="dxa"/>
          </w:tcPr>
          <w:p w14:paraId="3F0676F4" w14:textId="77777777" w:rsidR="00291938" w:rsidRPr="00BA44CD" w:rsidRDefault="00291938" w:rsidP="00257852">
            <w:pPr>
              <w:spacing w:line="360" w:lineRule="auto"/>
              <w:jc w:val="center"/>
            </w:pPr>
            <w:r w:rsidRPr="00BA44CD">
              <w:t>21.6 %</w:t>
            </w:r>
          </w:p>
        </w:tc>
        <w:tc>
          <w:tcPr>
            <w:tcW w:w="1376" w:type="dxa"/>
          </w:tcPr>
          <w:p w14:paraId="760E3B4A" w14:textId="77777777" w:rsidR="00291938" w:rsidRPr="00BA44CD" w:rsidRDefault="00291938" w:rsidP="00257852">
            <w:pPr>
              <w:spacing w:line="360" w:lineRule="auto"/>
              <w:jc w:val="center"/>
            </w:pPr>
            <w:r w:rsidRPr="00BA44CD">
              <w:t>42</w:t>
            </w:r>
          </w:p>
        </w:tc>
        <w:tc>
          <w:tcPr>
            <w:tcW w:w="1890" w:type="dxa"/>
          </w:tcPr>
          <w:p w14:paraId="1B057F1F" w14:textId="77777777" w:rsidR="00291938" w:rsidRPr="00BA44CD" w:rsidRDefault="00291938" w:rsidP="00257852">
            <w:pPr>
              <w:spacing w:line="360" w:lineRule="auto"/>
              <w:jc w:val="center"/>
            </w:pPr>
            <w:r w:rsidRPr="00BA44CD">
              <w:t>4.4 %</w:t>
            </w:r>
          </w:p>
        </w:tc>
      </w:tr>
      <w:tr w:rsidR="00291938" w:rsidRPr="00BA44CD" w14:paraId="083CA5AD" w14:textId="77777777" w:rsidTr="00384F3E">
        <w:tc>
          <w:tcPr>
            <w:tcW w:w="2700" w:type="dxa"/>
          </w:tcPr>
          <w:p w14:paraId="0A045A10" w14:textId="77777777" w:rsidR="00291938" w:rsidRPr="00BA44CD" w:rsidRDefault="00291938" w:rsidP="00257852">
            <w:pPr>
              <w:spacing w:line="360" w:lineRule="auto"/>
              <w:jc w:val="center"/>
            </w:pPr>
            <w:r w:rsidRPr="00BA44CD">
              <w:t xml:space="preserve">Age </w:t>
            </w:r>
          </w:p>
        </w:tc>
        <w:tc>
          <w:tcPr>
            <w:tcW w:w="1170" w:type="dxa"/>
          </w:tcPr>
          <w:p w14:paraId="63FFBAF4" w14:textId="77777777" w:rsidR="00291938" w:rsidRPr="00BA44CD" w:rsidRDefault="00291938" w:rsidP="00257852">
            <w:pPr>
              <w:spacing w:line="360" w:lineRule="auto"/>
              <w:jc w:val="center"/>
            </w:pPr>
          </w:p>
        </w:tc>
        <w:tc>
          <w:tcPr>
            <w:tcW w:w="1530" w:type="dxa"/>
          </w:tcPr>
          <w:p w14:paraId="64B403BF" w14:textId="77777777" w:rsidR="00291938" w:rsidRPr="00BA44CD" w:rsidRDefault="00291938" w:rsidP="00257852">
            <w:pPr>
              <w:spacing w:line="360" w:lineRule="auto"/>
              <w:jc w:val="center"/>
            </w:pPr>
          </w:p>
        </w:tc>
        <w:tc>
          <w:tcPr>
            <w:tcW w:w="1376" w:type="dxa"/>
          </w:tcPr>
          <w:p w14:paraId="69009FCF" w14:textId="77777777" w:rsidR="00291938" w:rsidRPr="00BA44CD" w:rsidRDefault="00291938" w:rsidP="00257852">
            <w:pPr>
              <w:spacing w:line="360" w:lineRule="auto"/>
              <w:jc w:val="center"/>
            </w:pPr>
          </w:p>
        </w:tc>
        <w:tc>
          <w:tcPr>
            <w:tcW w:w="1890" w:type="dxa"/>
          </w:tcPr>
          <w:p w14:paraId="57FFB7D7" w14:textId="77777777" w:rsidR="00291938" w:rsidRPr="00BA44CD" w:rsidRDefault="00291938" w:rsidP="00257852">
            <w:pPr>
              <w:spacing w:line="360" w:lineRule="auto"/>
              <w:jc w:val="center"/>
            </w:pPr>
          </w:p>
        </w:tc>
      </w:tr>
      <w:tr w:rsidR="00291938" w:rsidRPr="00BA44CD" w14:paraId="66BB1ED9" w14:textId="77777777" w:rsidTr="00384F3E">
        <w:tc>
          <w:tcPr>
            <w:tcW w:w="2700" w:type="dxa"/>
          </w:tcPr>
          <w:p w14:paraId="19AC86E9" w14:textId="77777777" w:rsidR="00291938" w:rsidRPr="00BA44CD" w:rsidRDefault="00291938" w:rsidP="00257852">
            <w:pPr>
              <w:spacing w:line="360" w:lineRule="auto"/>
            </w:pPr>
            <w:r w:rsidRPr="00BA44CD">
              <w:t>17-25</w:t>
            </w:r>
          </w:p>
        </w:tc>
        <w:tc>
          <w:tcPr>
            <w:tcW w:w="1170" w:type="dxa"/>
          </w:tcPr>
          <w:p w14:paraId="0AC060CE" w14:textId="77777777" w:rsidR="00291938" w:rsidRPr="00BA44CD" w:rsidRDefault="00291938" w:rsidP="00257852">
            <w:pPr>
              <w:spacing w:line="360" w:lineRule="auto"/>
              <w:jc w:val="center"/>
            </w:pPr>
            <w:r w:rsidRPr="00BA44CD">
              <w:t>574</w:t>
            </w:r>
          </w:p>
        </w:tc>
        <w:tc>
          <w:tcPr>
            <w:tcW w:w="1530" w:type="dxa"/>
          </w:tcPr>
          <w:p w14:paraId="114E6F3E" w14:textId="77777777" w:rsidR="00291938" w:rsidRPr="00BA44CD" w:rsidRDefault="00291938" w:rsidP="00257852">
            <w:pPr>
              <w:spacing w:line="360" w:lineRule="auto"/>
              <w:jc w:val="center"/>
            </w:pPr>
            <w:r w:rsidRPr="00BA44CD">
              <w:t>60.2 %</w:t>
            </w:r>
          </w:p>
        </w:tc>
        <w:tc>
          <w:tcPr>
            <w:tcW w:w="1376" w:type="dxa"/>
          </w:tcPr>
          <w:p w14:paraId="090E5E0A" w14:textId="77777777" w:rsidR="00291938" w:rsidRPr="00BA44CD" w:rsidRDefault="00291938" w:rsidP="00257852">
            <w:pPr>
              <w:spacing w:line="360" w:lineRule="auto"/>
              <w:jc w:val="center"/>
            </w:pPr>
            <w:r w:rsidRPr="00BA44CD">
              <w:t>102</w:t>
            </w:r>
          </w:p>
        </w:tc>
        <w:tc>
          <w:tcPr>
            <w:tcW w:w="1890" w:type="dxa"/>
          </w:tcPr>
          <w:p w14:paraId="073A682C" w14:textId="77777777" w:rsidR="00291938" w:rsidRPr="00BA44CD" w:rsidRDefault="00291938" w:rsidP="00257852">
            <w:pPr>
              <w:spacing w:line="360" w:lineRule="auto"/>
              <w:jc w:val="center"/>
            </w:pPr>
            <w:r w:rsidRPr="00BA44CD">
              <w:t>10.7 %</w:t>
            </w:r>
          </w:p>
        </w:tc>
      </w:tr>
      <w:tr w:rsidR="00291938" w:rsidRPr="00BA44CD" w14:paraId="6C87E665" w14:textId="77777777" w:rsidTr="00384F3E">
        <w:tc>
          <w:tcPr>
            <w:tcW w:w="2700" w:type="dxa"/>
          </w:tcPr>
          <w:p w14:paraId="339B53E2" w14:textId="77777777" w:rsidR="00291938" w:rsidRPr="00BA44CD" w:rsidRDefault="00291938" w:rsidP="00257852">
            <w:pPr>
              <w:spacing w:line="360" w:lineRule="auto"/>
            </w:pPr>
            <w:r w:rsidRPr="00BA44CD">
              <w:t>25-30</w:t>
            </w:r>
          </w:p>
        </w:tc>
        <w:tc>
          <w:tcPr>
            <w:tcW w:w="1170" w:type="dxa"/>
          </w:tcPr>
          <w:p w14:paraId="68EDD1E7" w14:textId="77777777" w:rsidR="00291938" w:rsidRPr="00BA44CD" w:rsidRDefault="00291938" w:rsidP="00257852">
            <w:pPr>
              <w:spacing w:line="360" w:lineRule="auto"/>
              <w:jc w:val="center"/>
            </w:pPr>
            <w:r w:rsidRPr="00BA44CD">
              <w:t>124</w:t>
            </w:r>
          </w:p>
        </w:tc>
        <w:tc>
          <w:tcPr>
            <w:tcW w:w="1530" w:type="dxa"/>
          </w:tcPr>
          <w:p w14:paraId="069A6BBB" w14:textId="77777777" w:rsidR="00291938" w:rsidRPr="00BA44CD" w:rsidRDefault="00291938" w:rsidP="00257852">
            <w:pPr>
              <w:spacing w:line="360" w:lineRule="auto"/>
              <w:jc w:val="center"/>
            </w:pPr>
            <w:r w:rsidRPr="00BA44CD">
              <w:t>13.0 %</w:t>
            </w:r>
          </w:p>
        </w:tc>
        <w:tc>
          <w:tcPr>
            <w:tcW w:w="1376" w:type="dxa"/>
          </w:tcPr>
          <w:p w14:paraId="6D238C1E" w14:textId="77777777" w:rsidR="00291938" w:rsidRPr="00BA44CD" w:rsidRDefault="00291938" w:rsidP="00257852">
            <w:pPr>
              <w:spacing w:line="360" w:lineRule="auto"/>
              <w:jc w:val="center"/>
            </w:pPr>
            <w:r w:rsidRPr="00BA44CD">
              <w:t>25</w:t>
            </w:r>
          </w:p>
        </w:tc>
        <w:tc>
          <w:tcPr>
            <w:tcW w:w="1890" w:type="dxa"/>
          </w:tcPr>
          <w:p w14:paraId="07C35B08" w14:textId="77777777" w:rsidR="00291938" w:rsidRPr="00BA44CD" w:rsidRDefault="00291938" w:rsidP="00257852">
            <w:pPr>
              <w:spacing w:line="360" w:lineRule="auto"/>
              <w:jc w:val="center"/>
            </w:pPr>
            <w:r w:rsidRPr="00BA44CD">
              <w:t>2.6 %</w:t>
            </w:r>
          </w:p>
        </w:tc>
      </w:tr>
      <w:tr w:rsidR="00291938" w:rsidRPr="00BA44CD" w14:paraId="35720E89" w14:textId="77777777" w:rsidTr="00384F3E">
        <w:tc>
          <w:tcPr>
            <w:tcW w:w="2700" w:type="dxa"/>
          </w:tcPr>
          <w:p w14:paraId="349E9C24" w14:textId="77777777" w:rsidR="00291938" w:rsidRPr="00BA44CD" w:rsidRDefault="00291938" w:rsidP="00257852">
            <w:pPr>
              <w:spacing w:line="360" w:lineRule="auto"/>
            </w:pPr>
            <w:r w:rsidRPr="00BA44CD">
              <w:t>Older than 30</w:t>
            </w:r>
          </w:p>
        </w:tc>
        <w:tc>
          <w:tcPr>
            <w:tcW w:w="1170" w:type="dxa"/>
          </w:tcPr>
          <w:p w14:paraId="43D8D6D6" w14:textId="77777777" w:rsidR="00291938" w:rsidRPr="00BA44CD" w:rsidRDefault="00291938" w:rsidP="00257852">
            <w:pPr>
              <w:spacing w:line="360" w:lineRule="auto"/>
              <w:jc w:val="center"/>
            </w:pPr>
            <w:r w:rsidRPr="00BA44CD">
              <w:t>107</w:t>
            </w:r>
          </w:p>
        </w:tc>
        <w:tc>
          <w:tcPr>
            <w:tcW w:w="1530" w:type="dxa"/>
          </w:tcPr>
          <w:p w14:paraId="70B6ADB3" w14:textId="77777777" w:rsidR="00291938" w:rsidRPr="00BA44CD" w:rsidRDefault="00291938" w:rsidP="00257852">
            <w:pPr>
              <w:spacing w:line="360" w:lineRule="auto"/>
              <w:jc w:val="center"/>
            </w:pPr>
            <w:r w:rsidRPr="00BA44CD">
              <w:t>11.2 %</w:t>
            </w:r>
          </w:p>
        </w:tc>
        <w:tc>
          <w:tcPr>
            <w:tcW w:w="1376" w:type="dxa"/>
          </w:tcPr>
          <w:p w14:paraId="2B32A3B0" w14:textId="77777777" w:rsidR="00291938" w:rsidRPr="00BA44CD" w:rsidRDefault="00291938" w:rsidP="00257852">
            <w:pPr>
              <w:spacing w:line="360" w:lineRule="auto"/>
              <w:jc w:val="center"/>
            </w:pPr>
            <w:r w:rsidRPr="00BA44CD">
              <w:t>21</w:t>
            </w:r>
          </w:p>
        </w:tc>
        <w:tc>
          <w:tcPr>
            <w:tcW w:w="1890" w:type="dxa"/>
          </w:tcPr>
          <w:p w14:paraId="50BE73EC" w14:textId="77777777" w:rsidR="00291938" w:rsidRPr="00BA44CD" w:rsidRDefault="00291938" w:rsidP="00257852">
            <w:pPr>
              <w:spacing w:line="360" w:lineRule="auto"/>
              <w:jc w:val="center"/>
            </w:pPr>
            <w:r w:rsidRPr="00BA44CD">
              <w:t xml:space="preserve">2.2% </w:t>
            </w:r>
          </w:p>
        </w:tc>
      </w:tr>
      <w:tr w:rsidR="00291938" w:rsidRPr="00BA44CD" w14:paraId="5807D5E8" w14:textId="77777777" w:rsidTr="00384F3E">
        <w:tc>
          <w:tcPr>
            <w:tcW w:w="2700" w:type="dxa"/>
          </w:tcPr>
          <w:p w14:paraId="73A46386" w14:textId="77777777" w:rsidR="00291938" w:rsidRPr="00BA44CD" w:rsidRDefault="00291938" w:rsidP="00257852">
            <w:pPr>
              <w:spacing w:line="360" w:lineRule="auto"/>
              <w:jc w:val="center"/>
            </w:pPr>
            <w:r w:rsidRPr="00BA44CD">
              <w:t xml:space="preserve">Format </w:t>
            </w:r>
          </w:p>
        </w:tc>
        <w:tc>
          <w:tcPr>
            <w:tcW w:w="1170" w:type="dxa"/>
          </w:tcPr>
          <w:p w14:paraId="048B1002" w14:textId="77777777" w:rsidR="00291938" w:rsidRPr="00BA44CD" w:rsidRDefault="00291938" w:rsidP="00257852">
            <w:pPr>
              <w:spacing w:line="360" w:lineRule="auto"/>
              <w:jc w:val="center"/>
            </w:pPr>
          </w:p>
        </w:tc>
        <w:tc>
          <w:tcPr>
            <w:tcW w:w="1530" w:type="dxa"/>
          </w:tcPr>
          <w:p w14:paraId="65F1C7CF" w14:textId="77777777" w:rsidR="00291938" w:rsidRPr="00BA44CD" w:rsidRDefault="00291938" w:rsidP="00257852">
            <w:pPr>
              <w:spacing w:line="360" w:lineRule="auto"/>
              <w:jc w:val="center"/>
            </w:pPr>
          </w:p>
        </w:tc>
        <w:tc>
          <w:tcPr>
            <w:tcW w:w="1376" w:type="dxa"/>
          </w:tcPr>
          <w:p w14:paraId="078B3B0D" w14:textId="77777777" w:rsidR="00291938" w:rsidRPr="00BA44CD" w:rsidRDefault="00291938" w:rsidP="00257852">
            <w:pPr>
              <w:spacing w:line="360" w:lineRule="auto"/>
              <w:jc w:val="center"/>
            </w:pPr>
          </w:p>
        </w:tc>
        <w:tc>
          <w:tcPr>
            <w:tcW w:w="1890" w:type="dxa"/>
          </w:tcPr>
          <w:p w14:paraId="036515F4" w14:textId="77777777" w:rsidR="00291938" w:rsidRPr="00BA44CD" w:rsidRDefault="00291938" w:rsidP="00257852">
            <w:pPr>
              <w:spacing w:line="360" w:lineRule="auto"/>
              <w:jc w:val="center"/>
            </w:pPr>
          </w:p>
        </w:tc>
      </w:tr>
      <w:tr w:rsidR="00291938" w:rsidRPr="00BA44CD" w14:paraId="05E268E6" w14:textId="77777777" w:rsidTr="00384F3E">
        <w:tc>
          <w:tcPr>
            <w:tcW w:w="2700" w:type="dxa"/>
          </w:tcPr>
          <w:p w14:paraId="3FA5FBD3" w14:textId="77777777" w:rsidR="00291938" w:rsidRPr="00BA44CD" w:rsidRDefault="00291938" w:rsidP="00257852">
            <w:pPr>
              <w:spacing w:line="360" w:lineRule="auto"/>
            </w:pPr>
            <w:r w:rsidRPr="00BA44CD">
              <w:t>Face-to-face</w:t>
            </w:r>
          </w:p>
        </w:tc>
        <w:tc>
          <w:tcPr>
            <w:tcW w:w="1170" w:type="dxa"/>
          </w:tcPr>
          <w:p w14:paraId="5DBA9F9F" w14:textId="77777777" w:rsidR="00291938" w:rsidRPr="00BA44CD" w:rsidRDefault="00291938" w:rsidP="00257852">
            <w:pPr>
              <w:spacing w:line="360" w:lineRule="auto"/>
              <w:jc w:val="center"/>
            </w:pPr>
            <w:r w:rsidRPr="00BA44CD">
              <w:t>406</w:t>
            </w:r>
          </w:p>
        </w:tc>
        <w:tc>
          <w:tcPr>
            <w:tcW w:w="1530" w:type="dxa"/>
          </w:tcPr>
          <w:p w14:paraId="5B8A8C06" w14:textId="77777777" w:rsidR="00291938" w:rsidRPr="00BA44CD" w:rsidRDefault="00291938" w:rsidP="00257852">
            <w:pPr>
              <w:spacing w:line="360" w:lineRule="auto"/>
              <w:jc w:val="center"/>
            </w:pPr>
            <w:r w:rsidRPr="00BA44CD">
              <w:t>42.6 %</w:t>
            </w:r>
          </w:p>
        </w:tc>
        <w:tc>
          <w:tcPr>
            <w:tcW w:w="1376" w:type="dxa"/>
          </w:tcPr>
          <w:p w14:paraId="6D2AA648" w14:textId="77777777" w:rsidR="00291938" w:rsidRPr="00BA44CD" w:rsidRDefault="00291938" w:rsidP="00257852">
            <w:pPr>
              <w:spacing w:line="360" w:lineRule="auto"/>
              <w:jc w:val="center"/>
            </w:pPr>
            <w:r w:rsidRPr="00BA44CD">
              <w:t>68</w:t>
            </w:r>
          </w:p>
        </w:tc>
        <w:tc>
          <w:tcPr>
            <w:tcW w:w="1890" w:type="dxa"/>
          </w:tcPr>
          <w:p w14:paraId="183A0BC6" w14:textId="77777777" w:rsidR="00291938" w:rsidRPr="00BA44CD" w:rsidRDefault="00291938" w:rsidP="00257852">
            <w:pPr>
              <w:spacing w:line="360" w:lineRule="auto"/>
              <w:jc w:val="center"/>
            </w:pPr>
            <w:r w:rsidRPr="00BA44CD">
              <w:t>7.1 %</w:t>
            </w:r>
          </w:p>
        </w:tc>
      </w:tr>
      <w:tr w:rsidR="00291938" w:rsidRPr="00BA44CD" w14:paraId="6703D606" w14:textId="77777777" w:rsidTr="00384F3E">
        <w:tc>
          <w:tcPr>
            <w:tcW w:w="2700" w:type="dxa"/>
            <w:tcBorders>
              <w:bottom w:val="nil"/>
            </w:tcBorders>
          </w:tcPr>
          <w:p w14:paraId="59DEFB59" w14:textId="77777777" w:rsidR="00291938" w:rsidRPr="00BA44CD" w:rsidRDefault="00291938" w:rsidP="00257852">
            <w:pPr>
              <w:spacing w:line="360" w:lineRule="auto"/>
            </w:pPr>
            <w:r w:rsidRPr="00BA44CD">
              <w:t>Online</w:t>
            </w:r>
          </w:p>
        </w:tc>
        <w:tc>
          <w:tcPr>
            <w:tcW w:w="1170" w:type="dxa"/>
            <w:tcBorders>
              <w:bottom w:val="nil"/>
            </w:tcBorders>
          </w:tcPr>
          <w:p w14:paraId="5A5D5D39" w14:textId="77777777" w:rsidR="00291938" w:rsidRPr="00BA44CD" w:rsidRDefault="00291938" w:rsidP="00257852">
            <w:pPr>
              <w:spacing w:line="360" w:lineRule="auto"/>
              <w:jc w:val="center"/>
            </w:pPr>
            <w:r w:rsidRPr="00BA44CD">
              <w:t>399</w:t>
            </w:r>
          </w:p>
        </w:tc>
        <w:tc>
          <w:tcPr>
            <w:tcW w:w="1530" w:type="dxa"/>
            <w:tcBorders>
              <w:bottom w:val="nil"/>
            </w:tcBorders>
          </w:tcPr>
          <w:p w14:paraId="4ACE3005" w14:textId="77777777" w:rsidR="00291938" w:rsidRPr="00BA44CD" w:rsidRDefault="00291938" w:rsidP="00257852">
            <w:pPr>
              <w:spacing w:line="360" w:lineRule="auto"/>
              <w:jc w:val="center"/>
            </w:pPr>
            <w:r w:rsidRPr="00BA44CD">
              <w:t>41.9 %</w:t>
            </w:r>
          </w:p>
        </w:tc>
        <w:tc>
          <w:tcPr>
            <w:tcW w:w="1376" w:type="dxa"/>
            <w:tcBorders>
              <w:bottom w:val="nil"/>
            </w:tcBorders>
          </w:tcPr>
          <w:p w14:paraId="63150143" w14:textId="77777777" w:rsidR="00291938" w:rsidRPr="00BA44CD" w:rsidRDefault="00291938" w:rsidP="00257852">
            <w:pPr>
              <w:spacing w:line="360" w:lineRule="auto"/>
              <w:jc w:val="center"/>
            </w:pPr>
            <w:r w:rsidRPr="00BA44CD">
              <w:t>80</w:t>
            </w:r>
          </w:p>
        </w:tc>
        <w:tc>
          <w:tcPr>
            <w:tcW w:w="1890" w:type="dxa"/>
            <w:tcBorders>
              <w:bottom w:val="nil"/>
            </w:tcBorders>
          </w:tcPr>
          <w:p w14:paraId="37DE5230" w14:textId="77777777" w:rsidR="00291938" w:rsidRPr="00BA44CD" w:rsidRDefault="00291938" w:rsidP="00257852">
            <w:pPr>
              <w:spacing w:line="360" w:lineRule="auto"/>
              <w:jc w:val="center"/>
            </w:pPr>
            <w:r w:rsidRPr="00BA44CD">
              <w:t>8.4 %</w:t>
            </w:r>
          </w:p>
        </w:tc>
      </w:tr>
      <w:tr w:rsidR="00291938" w:rsidRPr="00BA44CD" w14:paraId="092F0DBA" w14:textId="77777777" w:rsidTr="00384F3E">
        <w:tc>
          <w:tcPr>
            <w:tcW w:w="2700" w:type="dxa"/>
            <w:tcBorders>
              <w:top w:val="nil"/>
              <w:bottom w:val="nil"/>
            </w:tcBorders>
          </w:tcPr>
          <w:p w14:paraId="1936952D" w14:textId="77777777" w:rsidR="00291938" w:rsidRPr="00BA44CD" w:rsidRDefault="00291938" w:rsidP="00257852">
            <w:pPr>
              <w:spacing w:line="360" w:lineRule="auto"/>
              <w:jc w:val="center"/>
            </w:pPr>
            <w:r w:rsidRPr="00BA44CD">
              <w:t>Random Effects</w:t>
            </w:r>
          </w:p>
        </w:tc>
        <w:tc>
          <w:tcPr>
            <w:tcW w:w="1170" w:type="dxa"/>
            <w:tcBorders>
              <w:top w:val="nil"/>
              <w:bottom w:val="nil"/>
            </w:tcBorders>
          </w:tcPr>
          <w:p w14:paraId="5E058F86" w14:textId="77777777" w:rsidR="00291938" w:rsidRPr="00BA44CD" w:rsidRDefault="00291938" w:rsidP="00257852">
            <w:pPr>
              <w:spacing w:line="360" w:lineRule="auto"/>
              <w:jc w:val="center"/>
            </w:pPr>
          </w:p>
        </w:tc>
        <w:tc>
          <w:tcPr>
            <w:tcW w:w="1530" w:type="dxa"/>
            <w:tcBorders>
              <w:top w:val="nil"/>
              <w:bottom w:val="nil"/>
            </w:tcBorders>
          </w:tcPr>
          <w:p w14:paraId="16600004" w14:textId="77777777" w:rsidR="00291938" w:rsidRPr="00BA44CD" w:rsidRDefault="00291938" w:rsidP="00257852">
            <w:pPr>
              <w:spacing w:line="360" w:lineRule="auto"/>
              <w:jc w:val="center"/>
            </w:pPr>
          </w:p>
        </w:tc>
        <w:tc>
          <w:tcPr>
            <w:tcW w:w="1376" w:type="dxa"/>
            <w:tcBorders>
              <w:top w:val="nil"/>
              <w:bottom w:val="nil"/>
            </w:tcBorders>
          </w:tcPr>
          <w:p w14:paraId="7BED6859" w14:textId="77777777" w:rsidR="00291938" w:rsidRPr="00BA44CD" w:rsidRDefault="00291938" w:rsidP="00257852">
            <w:pPr>
              <w:spacing w:line="360" w:lineRule="auto"/>
              <w:jc w:val="center"/>
            </w:pPr>
          </w:p>
        </w:tc>
        <w:tc>
          <w:tcPr>
            <w:tcW w:w="1890" w:type="dxa"/>
            <w:tcBorders>
              <w:top w:val="nil"/>
              <w:bottom w:val="nil"/>
            </w:tcBorders>
          </w:tcPr>
          <w:p w14:paraId="5DC928CC" w14:textId="77777777" w:rsidR="00291938" w:rsidRPr="00BA44CD" w:rsidRDefault="00291938" w:rsidP="00257852">
            <w:pPr>
              <w:spacing w:line="360" w:lineRule="auto"/>
              <w:jc w:val="center"/>
            </w:pPr>
          </w:p>
        </w:tc>
      </w:tr>
      <w:tr w:rsidR="00291938" w:rsidRPr="00BA44CD" w14:paraId="000BD051" w14:textId="77777777" w:rsidTr="00384F3E">
        <w:tc>
          <w:tcPr>
            <w:tcW w:w="2700" w:type="dxa"/>
            <w:tcBorders>
              <w:top w:val="nil"/>
              <w:bottom w:val="nil"/>
            </w:tcBorders>
          </w:tcPr>
          <w:p w14:paraId="6D2E5675" w14:textId="77777777" w:rsidR="00291938" w:rsidRPr="00BA44CD" w:rsidRDefault="00291938" w:rsidP="00257852">
            <w:pPr>
              <w:spacing w:line="360" w:lineRule="auto"/>
              <w:jc w:val="center"/>
            </w:pPr>
            <w:r w:rsidRPr="00BA44CD">
              <w:t>Major</w:t>
            </w:r>
          </w:p>
        </w:tc>
        <w:tc>
          <w:tcPr>
            <w:tcW w:w="1170" w:type="dxa"/>
            <w:tcBorders>
              <w:top w:val="nil"/>
              <w:bottom w:val="nil"/>
            </w:tcBorders>
          </w:tcPr>
          <w:p w14:paraId="25B7C80F" w14:textId="77777777" w:rsidR="00291938" w:rsidRPr="00BA44CD" w:rsidRDefault="00291938" w:rsidP="00257852">
            <w:pPr>
              <w:spacing w:line="360" w:lineRule="auto"/>
              <w:jc w:val="center"/>
            </w:pPr>
          </w:p>
        </w:tc>
        <w:tc>
          <w:tcPr>
            <w:tcW w:w="1530" w:type="dxa"/>
            <w:tcBorders>
              <w:top w:val="nil"/>
              <w:bottom w:val="nil"/>
            </w:tcBorders>
          </w:tcPr>
          <w:p w14:paraId="16829D2D" w14:textId="77777777" w:rsidR="00291938" w:rsidRPr="00BA44CD" w:rsidRDefault="00291938" w:rsidP="00257852">
            <w:pPr>
              <w:spacing w:line="360" w:lineRule="auto"/>
              <w:jc w:val="center"/>
            </w:pPr>
          </w:p>
        </w:tc>
        <w:tc>
          <w:tcPr>
            <w:tcW w:w="1376" w:type="dxa"/>
            <w:tcBorders>
              <w:top w:val="nil"/>
              <w:bottom w:val="nil"/>
            </w:tcBorders>
          </w:tcPr>
          <w:p w14:paraId="2BD483E4" w14:textId="77777777" w:rsidR="00291938" w:rsidRPr="00BA44CD" w:rsidRDefault="00291938" w:rsidP="00257852">
            <w:pPr>
              <w:spacing w:line="360" w:lineRule="auto"/>
              <w:jc w:val="center"/>
            </w:pPr>
          </w:p>
        </w:tc>
        <w:tc>
          <w:tcPr>
            <w:tcW w:w="1890" w:type="dxa"/>
            <w:tcBorders>
              <w:top w:val="nil"/>
              <w:bottom w:val="nil"/>
            </w:tcBorders>
          </w:tcPr>
          <w:p w14:paraId="12D492AE" w14:textId="77777777" w:rsidR="00291938" w:rsidRPr="00BA44CD" w:rsidRDefault="00291938" w:rsidP="00257852">
            <w:pPr>
              <w:spacing w:line="360" w:lineRule="auto"/>
              <w:jc w:val="center"/>
            </w:pPr>
          </w:p>
        </w:tc>
      </w:tr>
      <w:tr w:rsidR="00291938" w:rsidRPr="00BA44CD" w14:paraId="62D2AD90" w14:textId="77777777" w:rsidTr="00384F3E">
        <w:tblPrEx>
          <w:tblBorders>
            <w:left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60436241" w14:textId="77777777" w:rsidR="00291938" w:rsidRPr="00BA44CD" w:rsidRDefault="00291938" w:rsidP="00257852">
            <w:pPr>
              <w:spacing w:line="360" w:lineRule="auto"/>
            </w:pPr>
            <w:r w:rsidRPr="00BA44CD">
              <w:t>BHCS</w:t>
            </w:r>
          </w:p>
        </w:tc>
        <w:tc>
          <w:tcPr>
            <w:tcW w:w="1170" w:type="dxa"/>
            <w:tcBorders>
              <w:top w:val="nil"/>
              <w:left w:val="nil"/>
              <w:bottom w:val="nil"/>
              <w:right w:val="nil"/>
            </w:tcBorders>
          </w:tcPr>
          <w:p w14:paraId="141D459D" w14:textId="77777777" w:rsidR="00291938" w:rsidRPr="00BA44CD" w:rsidRDefault="00291938" w:rsidP="00257852">
            <w:pPr>
              <w:spacing w:line="360" w:lineRule="auto"/>
              <w:jc w:val="center"/>
            </w:pPr>
            <w:r w:rsidRPr="00BA44CD">
              <w:t>452</w:t>
            </w:r>
          </w:p>
        </w:tc>
        <w:tc>
          <w:tcPr>
            <w:tcW w:w="1530" w:type="dxa"/>
            <w:tcBorders>
              <w:top w:val="nil"/>
              <w:left w:val="nil"/>
              <w:bottom w:val="nil"/>
              <w:right w:val="nil"/>
            </w:tcBorders>
          </w:tcPr>
          <w:p w14:paraId="42044BA9" w14:textId="77777777" w:rsidR="00291938" w:rsidRPr="00BA44CD" w:rsidRDefault="00291938" w:rsidP="00257852">
            <w:pPr>
              <w:spacing w:line="360" w:lineRule="auto"/>
              <w:jc w:val="center"/>
            </w:pPr>
            <w:r w:rsidRPr="00BA44CD">
              <w:t>47.4 %</w:t>
            </w:r>
          </w:p>
        </w:tc>
        <w:tc>
          <w:tcPr>
            <w:tcW w:w="1376" w:type="dxa"/>
            <w:tcBorders>
              <w:top w:val="nil"/>
              <w:left w:val="nil"/>
              <w:bottom w:val="nil"/>
              <w:right w:val="nil"/>
            </w:tcBorders>
          </w:tcPr>
          <w:p w14:paraId="39D77201" w14:textId="77777777" w:rsidR="00291938" w:rsidRPr="00BA44CD" w:rsidRDefault="00291938" w:rsidP="00257852">
            <w:pPr>
              <w:spacing w:line="360" w:lineRule="auto"/>
              <w:jc w:val="center"/>
            </w:pPr>
            <w:r w:rsidRPr="00BA44CD">
              <w:t>79</w:t>
            </w:r>
          </w:p>
        </w:tc>
        <w:tc>
          <w:tcPr>
            <w:tcW w:w="1890" w:type="dxa"/>
            <w:tcBorders>
              <w:top w:val="nil"/>
              <w:left w:val="nil"/>
              <w:bottom w:val="nil"/>
              <w:right w:val="nil"/>
            </w:tcBorders>
          </w:tcPr>
          <w:p w14:paraId="193D6183" w14:textId="77777777" w:rsidR="00291938" w:rsidRPr="00BA44CD" w:rsidRDefault="00291938" w:rsidP="00257852">
            <w:pPr>
              <w:spacing w:line="360" w:lineRule="auto"/>
              <w:jc w:val="center"/>
            </w:pPr>
            <w:r w:rsidRPr="00BA44CD">
              <w:t>8.3 %</w:t>
            </w:r>
          </w:p>
        </w:tc>
      </w:tr>
      <w:tr w:rsidR="00291938" w:rsidRPr="00BA44CD" w14:paraId="4AA59497" w14:textId="77777777" w:rsidTr="00384F3E">
        <w:tblPrEx>
          <w:tblBorders>
            <w:left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47595863" w14:textId="77777777" w:rsidR="00291938" w:rsidRPr="00BA44CD" w:rsidRDefault="00291938" w:rsidP="00257852">
            <w:pPr>
              <w:spacing w:line="360" w:lineRule="auto"/>
            </w:pPr>
            <w:r w:rsidRPr="00BA44CD">
              <w:t>BSN</w:t>
            </w:r>
          </w:p>
        </w:tc>
        <w:tc>
          <w:tcPr>
            <w:tcW w:w="1170" w:type="dxa"/>
            <w:tcBorders>
              <w:top w:val="nil"/>
              <w:left w:val="nil"/>
              <w:bottom w:val="nil"/>
              <w:right w:val="nil"/>
            </w:tcBorders>
          </w:tcPr>
          <w:p w14:paraId="49A09718" w14:textId="77777777" w:rsidR="00291938" w:rsidRPr="00BA44CD" w:rsidRDefault="00291938" w:rsidP="00257852">
            <w:pPr>
              <w:spacing w:line="360" w:lineRule="auto"/>
              <w:jc w:val="center"/>
            </w:pPr>
            <w:r w:rsidRPr="00BA44CD">
              <w:t>124</w:t>
            </w:r>
          </w:p>
        </w:tc>
        <w:tc>
          <w:tcPr>
            <w:tcW w:w="1530" w:type="dxa"/>
            <w:tcBorders>
              <w:top w:val="nil"/>
              <w:left w:val="nil"/>
              <w:bottom w:val="nil"/>
              <w:right w:val="nil"/>
            </w:tcBorders>
          </w:tcPr>
          <w:p w14:paraId="30D15859" w14:textId="77777777" w:rsidR="00291938" w:rsidRPr="00BA44CD" w:rsidRDefault="00291938" w:rsidP="00257852">
            <w:pPr>
              <w:spacing w:line="360" w:lineRule="auto"/>
              <w:jc w:val="center"/>
            </w:pPr>
            <w:r w:rsidRPr="00BA44CD">
              <w:t>13.0 %</w:t>
            </w:r>
          </w:p>
        </w:tc>
        <w:tc>
          <w:tcPr>
            <w:tcW w:w="1376" w:type="dxa"/>
            <w:tcBorders>
              <w:top w:val="nil"/>
              <w:left w:val="nil"/>
              <w:bottom w:val="nil"/>
              <w:right w:val="nil"/>
            </w:tcBorders>
          </w:tcPr>
          <w:p w14:paraId="6A3725FF" w14:textId="77777777" w:rsidR="00291938" w:rsidRPr="00BA44CD" w:rsidRDefault="00291938" w:rsidP="00257852">
            <w:pPr>
              <w:spacing w:line="360" w:lineRule="auto"/>
              <w:jc w:val="center"/>
            </w:pPr>
            <w:r w:rsidRPr="00BA44CD">
              <w:t>9</w:t>
            </w:r>
          </w:p>
        </w:tc>
        <w:tc>
          <w:tcPr>
            <w:tcW w:w="1890" w:type="dxa"/>
            <w:tcBorders>
              <w:top w:val="nil"/>
              <w:left w:val="nil"/>
              <w:bottom w:val="nil"/>
              <w:right w:val="nil"/>
            </w:tcBorders>
          </w:tcPr>
          <w:p w14:paraId="60B99568" w14:textId="77777777" w:rsidR="00291938" w:rsidRPr="00BA44CD" w:rsidRDefault="00291938" w:rsidP="00257852">
            <w:pPr>
              <w:spacing w:line="360" w:lineRule="auto"/>
              <w:jc w:val="center"/>
            </w:pPr>
            <w:r w:rsidRPr="00BA44CD">
              <w:t>0.9 %</w:t>
            </w:r>
          </w:p>
        </w:tc>
      </w:tr>
      <w:tr w:rsidR="00291938" w:rsidRPr="00BA44CD" w14:paraId="4D661FF5" w14:textId="77777777" w:rsidTr="00384F3E">
        <w:tblPrEx>
          <w:tblBorders>
            <w:left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4D424E94" w14:textId="77777777" w:rsidR="00291938" w:rsidRPr="00BA44CD" w:rsidRDefault="00291938" w:rsidP="00257852">
            <w:pPr>
              <w:spacing w:line="360" w:lineRule="auto"/>
            </w:pPr>
            <w:r w:rsidRPr="00BA44CD">
              <w:t>Pre-health care sciences</w:t>
            </w:r>
          </w:p>
        </w:tc>
        <w:tc>
          <w:tcPr>
            <w:tcW w:w="1170" w:type="dxa"/>
            <w:tcBorders>
              <w:top w:val="nil"/>
              <w:left w:val="nil"/>
              <w:bottom w:val="nil"/>
              <w:right w:val="nil"/>
            </w:tcBorders>
          </w:tcPr>
          <w:p w14:paraId="03CD68EC" w14:textId="77777777" w:rsidR="00291938" w:rsidRPr="00BA44CD" w:rsidRDefault="00291938" w:rsidP="00257852">
            <w:pPr>
              <w:spacing w:line="360" w:lineRule="auto"/>
              <w:jc w:val="center"/>
            </w:pPr>
            <w:r w:rsidRPr="00BA44CD">
              <w:t>49</w:t>
            </w:r>
          </w:p>
        </w:tc>
        <w:tc>
          <w:tcPr>
            <w:tcW w:w="1530" w:type="dxa"/>
            <w:tcBorders>
              <w:top w:val="nil"/>
              <w:left w:val="nil"/>
              <w:bottom w:val="nil"/>
              <w:right w:val="nil"/>
            </w:tcBorders>
          </w:tcPr>
          <w:p w14:paraId="7A3EE173" w14:textId="77777777" w:rsidR="00291938" w:rsidRPr="00BA44CD" w:rsidRDefault="00291938" w:rsidP="00257852">
            <w:pPr>
              <w:spacing w:line="360" w:lineRule="auto"/>
              <w:jc w:val="center"/>
            </w:pPr>
            <w:r w:rsidRPr="00BA44CD">
              <w:t>3.7 %</w:t>
            </w:r>
          </w:p>
        </w:tc>
        <w:tc>
          <w:tcPr>
            <w:tcW w:w="1376" w:type="dxa"/>
            <w:tcBorders>
              <w:top w:val="nil"/>
              <w:left w:val="nil"/>
              <w:bottom w:val="nil"/>
              <w:right w:val="nil"/>
            </w:tcBorders>
          </w:tcPr>
          <w:p w14:paraId="595BF010" w14:textId="77777777" w:rsidR="00291938" w:rsidRPr="00BA44CD" w:rsidRDefault="00291938" w:rsidP="00257852">
            <w:pPr>
              <w:spacing w:line="360" w:lineRule="auto"/>
              <w:jc w:val="center"/>
            </w:pPr>
            <w:r w:rsidRPr="00BA44CD">
              <w:t>9</w:t>
            </w:r>
          </w:p>
        </w:tc>
        <w:tc>
          <w:tcPr>
            <w:tcW w:w="1890" w:type="dxa"/>
            <w:tcBorders>
              <w:top w:val="nil"/>
              <w:left w:val="nil"/>
              <w:bottom w:val="nil"/>
              <w:right w:val="nil"/>
            </w:tcBorders>
          </w:tcPr>
          <w:p w14:paraId="3715763F" w14:textId="77777777" w:rsidR="00291938" w:rsidRPr="00BA44CD" w:rsidRDefault="00291938" w:rsidP="00257852">
            <w:pPr>
              <w:spacing w:line="360" w:lineRule="auto"/>
              <w:jc w:val="center"/>
            </w:pPr>
            <w:r w:rsidRPr="00BA44CD">
              <w:t>1.5 %</w:t>
            </w:r>
          </w:p>
        </w:tc>
      </w:tr>
      <w:tr w:rsidR="00291938" w:rsidRPr="00BA44CD" w14:paraId="5C101014" w14:textId="77777777" w:rsidTr="00384F3E">
        <w:tblPrEx>
          <w:tblBorders>
            <w:left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61E4E85F" w14:textId="77777777" w:rsidR="00291938" w:rsidRPr="00BA44CD" w:rsidRDefault="00291938" w:rsidP="00257852">
            <w:pPr>
              <w:spacing w:line="360" w:lineRule="auto"/>
            </w:pPr>
            <w:r w:rsidRPr="00BA44CD">
              <w:t>Pre-nursing</w:t>
            </w:r>
          </w:p>
        </w:tc>
        <w:tc>
          <w:tcPr>
            <w:tcW w:w="1170" w:type="dxa"/>
            <w:tcBorders>
              <w:top w:val="nil"/>
              <w:left w:val="nil"/>
              <w:bottom w:val="nil"/>
              <w:right w:val="nil"/>
            </w:tcBorders>
          </w:tcPr>
          <w:p w14:paraId="25B373B5" w14:textId="77777777" w:rsidR="00291938" w:rsidRPr="00BA44CD" w:rsidRDefault="00291938" w:rsidP="00257852">
            <w:pPr>
              <w:spacing w:line="360" w:lineRule="auto"/>
              <w:jc w:val="center"/>
            </w:pPr>
            <w:r w:rsidRPr="00BA44CD">
              <w:t>144</w:t>
            </w:r>
          </w:p>
        </w:tc>
        <w:tc>
          <w:tcPr>
            <w:tcW w:w="1530" w:type="dxa"/>
            <w:tcBorders>
              <w:top w:val="nil"/>
              <w:left w:val="nil"/>
              <w:bottom w:val="nil"/>
              <w:right w:val="nil"/>
            </w:tcBorders>
          </w:tcPr>
          <w:p w14:paraId="706AAF82" w14:textId="77777777" w:rsidR="00291938" w:rsidRPr="00BA44CD" w:rsidRDefault="00291938" w:rsidP="00257852">
            <w:pPr>
              <w:spacing w:line="360" w:lineRule="auto"/>
              <w:jc w:val="center"/>
            </w:pPr>
            <w:r w:rsidRPr="00BA44CD">
              <w:t>5.1 %</w:t>
            </w:r>
          </w:p>
        </w:tc>
        <w:tc>
          <w:tcPr>
            <w:tcW w:w="1376" w:type="dxa"/>
            <w:tcBorders>
              <w:top w:val="nil"/>
              <w:left w:val="nil"/>
              <w:bottom w:val="nil"/>
              <w:right w:val="nil"/>
            </w:tcBorders>
          </w:tcPr>
          <w:p w14:paraId="47DBF660" w14:textId="77777777" w:rsidR="00291938" w:rsidRPr="00BA44CD" w:rsidRDefault="00291938" w:rsidP="00257852">
            <w:pPr>
              <w:spacing w:line="360" w:lineRule="auto"/>
              <w:jc w:val="center"/>
            </w:pPr>
            <w:r w:rsidRPr="00BA44CD">
              <w:t>37</w:t>
            </w:r>
          </w:p>
        </w:tc>
        <w:tc>
          <w:tcPr>
            <w:tcW w:w="1890" w:type="dxa"/>
            <w:tcBorders>
              <w:top w:val="nil"/>
              <w:left w:val="nil"/>
              <w:bottom w:val="nil"/>
              <w:right w:val="nil"/>
            </w:tcBorders>
          </w:tcPr>
          <w:p w14:paraId="5C87AD4B" w14:textId="77777777" w:rsidR="00291938" w:rsidRPr="00BA44CD" w:rsidRDefault="00291938" w:rsidP="00257852">
            <w:pPr>
              <w:spacing w:line="360" w:lineRule="auto"/>
              <w:jc w:val="center"/>
            </w:pPr>
            <w:r w:rsidRPr="00BA44CD">
              <w:t>0.9 %</w:t>
            </w:r>
          </w:p>
        </w:tc>
      </w:tr>
      <w:tr w:rsidR="00291938" w:rsidRPr="00BA44CD" w14:paraId="2B7DE7D0" w14:textId="77777777" w:rsidTr="00384F3E">
        <w:tblPrEx>
          <w:tblBorders>
            <w:left w:val="single" w:sz="4" w:space="0" w:color="auto"/>
            <w:right w:val="single" w:sz="4" w:space="0" w:color="auto"/>
            <w:insideH w:val="single" w:sz="4" w:space="0" w:color="auto"/>
            <w:insideV w:val="single" w:sz="4" w:space="0" w:color="auto"/>
          </w:tblBorders>
        </w:tblPrEx>
        <w:tc>
          <w:tcPr>
            <w:tcW w:w="2700" w:type="dxa"/>
            <w:tcBorders>
              <w:top w:val="nil"/>
              <w:left w:val="nil"/>
              <w:bottom w:val="single" w:sz="4" w:space="0" w:color="auto"/>
              <w:right w:val="nil"/>
            </w:tcBorders>
          </w:tcPr>
          <w:p w14:paraId="6F45B670" w14:textId="77777777" w:rsidR="00291938" w:rsidRPr="00BA44CD" w:rsidRDefault="00291938" w:rsidP="00257852">
            <w:pPr>
              <w:spacing w:line="360" w:lineRule="auto"/>
            </w:pPr>
            <w:r w:rsidRPr="00BA44CD">
              <w:t>Other</w:t>
            </w:r>
          </w:p>
        </w:tc>
        <w:tc>
          <w:tcPr>
            <w:tcW w:w="1170" w:type="dxa"/>
            <w:tcBorders>
              <w:top w:val="nil"/>
              <w:left w:val="nil"/>
              <w:bottom w:val="single" w:sz="4" w:space="0" w:color="auto"/>
              <w:right w:val="nil"/>
            </w:tcBorders>
          </w:tcPr>
          <w:p w14:paraId="6074EB75" w14:textId="77777777" w:rsidR="00291938" w:rsidRPr="00BA44CD" w:rsidRDefault="00291938" w:rsidP="00257852">
            <w:pPr>
              <w:spacing w:line="360" w:lineRule="auto"/>
              <w:jc w:val="center"/>
            </w:pPr>
            <w:r w:rsidRPr="00BA44CD">
              <w:t>14</w:t>
            </w:r>
          </w:p>
        </w:tc>
        <w:tc>
          <w:tcPr>
            <w:tcW w:w="1530" w:type="dxa"/>
            <w:tcBorders>
              <w:top w:val="nil"/>
              <w:left w:val="nil"/>
              <w:bottom w:val="single" w:sz="4" w:space="0" w:color="auto"/>
              <w:right w:val="nil"/>
            </w:tcBorders>
          </w:tcPr>
          <w:p w14:paraId="0079E29E" w14:textId="77777777" w:rsidR="00291938" w:rsidRPr="00BA44CD" w:rsidRDefault="00291938" w:rsidP="00257852">
            <w:pPr>
              <w:spacing w:line="360" w:lineRule="auto"/>
              <w:jc w:val="center"/>
            </w:pPr>
            <w:r w:rsidRPr="00BA44CD">
              <w:t>15.1 %</w:t>
            </w:r>
          </w:p>
        </w:tc>
        <w:tc>
          <w:tcPr>
            <w:tcW w:w="1376" w:type="dxa"/>
            <w:tcBorders>
              <w:top w:val="nil"/>
              <w:left w:val="nil"/>
              <w:bottom w:val="single" w:sz="4" w:space="0" w:color="auto"/>
              <w:right w:val="nil"/>
            </w:tcBorders>
          </w:tcPr>
          <w:p w14:paraId="5EF76538" w14:textId="77777777" w:rsidR="00291938" w:rsidRPr="00BA44CD" w:rsidRDefault="00291938" w:rsidP="00257852">
            <w:pPr>
              <w:spacing w:line="360" w:lineRule="auto"/>
              <w:jc w:val="center"/>
            </w:pPr>
            <w:r w:rsidRPr="00BA44CD">
              <w:t>36</w:t>
            </w:r>
          </w:p>
        </w:tc>
        <w:tc>
          <w:tcPr>
            <w:tcW w:w="1890" w:type="dxa"/>
            <w:tcBorders>
              <w:top w:val="nil"/>
              <w:left w:val="nil"/>
              <w:bottom w:val="single" w:sz="4" w:space="0" w:color="auto"/>
              <w:right w:val="nil"/>
            </w:tcBorders>
          </w:tcPr>
          <w:p w14:paraId="53F2FA6C" w14:textId="77777777" w:rsidR="00291938" w:rsidRPr="00BA44CD" w:rsidRDefault="00291938" w:rsidP="00257852">
            <w:pPr>
              <w:spacing w:line="360" w:lineRule="auto"/>
              <w:jc w:val="center"/>
            </w:pPr>
            <w:r w:rsidRPr="00BA44CD">
              <w:t>3.8 %</w:t>
            </w:r>
          </w:p>
        </w:tc>
      </w:tr>
    </w:tbl>
    <w:p w14:paraId="1832E397" w14:textId="77777777" w:rsidR="00291938" w:rsidRPr="00BA44CD" w:rsidRDefault="00291938" w:rsidP="00257852">
      <w:pPr>
        <w:spacing w:line="360" w:lineRule="auto"/>
      </w:pPr>
      <w:r w:rsidRPr="00BA44CD">
        <w:rPr>
          <w:vertAlign w:val="superscript"/>
        </w:rPr>
        <w:t>*</w:t>
      </w:r>
      <w:r w:rsidRPr="00BA44CD">
        <w:rPr>
          <w:sz w:val="18"/>
          <w:szCs w:val="18"/>
        </w:rPr>
        <w:t xml:space="preserve">collapsed into one </w:t>
      </w:r>
      <w:proofErr w:type="gramStart"/>
      <w:r w:rsidRPr="00BA44CD">
        <w:rPr>
          <w:sz w:val="18"/>
          <w:szCs w:val="18"/>
        </w:rPr>
        <w:t>group;</w:t>
      </w:r>
      <w:proofErr w:type="gramEnd"/>
      <w:r w:rsidRPr="00BA44CD">
        <w:rPr>
          <w:sz w:val="18"/>
          <w:szCs w:val="18"/>
        </w:rPr>
        <w:t xml:space="preserve"> n = 211 (22.1 %) for successful students, n = 55 (5.7 %) for unsuccessful students. BHCS = Bachelor of health care sciences; BSN =Bachelor of Science in nursing</w:t>
      </w:r>
    </w:p>
    <w:p w14:paraId="657E76C1" w14:textId="77777777" w:rsidR="00384F3E" w:rsidRDefault="00384F3E" w:rsidP="00257852">
      <w:pPr>
        <w:spacing w:line="360" w:lineRule="auto"/>
      </w:pPr>
    </w:p>
    <w:p w14:paraId="4DD284A8" w14:textId="77777777" w:rsidR="00384F3E" w:rsidRPr="00BA44CD" w:rsidRDefault="00384F3E" w:rsidP="00D94492">
      <w:pPr>
        <w:spacing w:line="360" w:lineRule="auto"/>
      </w:pPr>
      <w:r w:rsidRPr="00BA44CD">
        <w:lastRenderedPageBreak/>
        <w:t xml:space="preserve">The study was granted ethical approval by the local Institutional Review Board (18-102-CNV). The data were retrieved from the institution’s Office of Data management.  Data were analyzed using R version 3.4.1 (R Core Team, 2017).  Visual inspection of the data revealed duplicate cases taking the course in the same semester. Therefore, the </w:t>
      </w:r>
      <w:r w:rsidRPr="00BA44CD">
        <w:rPr>
          <w:i/>
          <w:iCs/>
        </w:rPr>
        <w:t>unique</w:t>
      </w:r>
      <w:r w:rsidRPr="00BA44CD">
        <w:t xml:space="preserve"> function of the base package (R Core Team, 2017) was used to remove duplicate cases from the dataset.  There were 921 participants (representing 953 rows of data) left in the dataset after cleaning.  </w:t>
      </w:r>
    </w:p>
    <w:p w14:paraId="16B3C2D4" w14:textId="77777777" w:rsidR="00384F3E" w:rsidRDefault="00384F3E" w:rsidP="00D94492">
      <w:pPr>
        <w:spacing w:line="360" w:lineRule="auto"/>
      </w:pPr>
    </w:p>
    <w:p w14:paraId="2037EF1C" w14:textId="389FDCA1" w:rsidR="00384F3E" w:rsidRPr="00BA44CD" w:rsidRDefault="00384F3E" w:rsidP="00D94492">
      <w:pPr>
        <w:spacing w:line="360" w:lineRule="auto"/>
      </w:pPr>
      <w:r w:rsidRPr="00BA44CD">
        <w:t>The method used to analyze the data was multilevel binary logistic regression (MBLR).  Caucasian males aged 18-25 years old were used as the baseline demographic.  This method is suitable, as students who are unsuccessful often repeat the course in order to be successful.  This violates the assumption of independent observations to which multilevel</w:t>
      </w:r>
      <w:r w:rsidR="005B0BDC">
        <w:t xml:space="preserve"> methods</w:t>
      </w:r>
      <w:r w:rsidRPr="00BA44CD">
        <w:t xml:space="preserve"> </w:t>
      </w:r>
      <w:r w:rsidR="005B0BDC">
        <w:t xml:space="preserve">such as MBLR </w:t>
      </w:r>
      <w:r w:rsidRPr="00BA44CD">
        <w:t xml:space="preserve">are robust (Field, Miles &amp; Field, 2012). The </w:t>
      </w:r>
      <w:r w:rsidRPr="00BA44CD">
        <w:rPr>
          <w:i/>
          <w:iCs/>
        </w:rPr>
        <w:t>describe</w:t>
      </w:r>
      <w:r w:rsidRPr="00BA44CD">
        <w:t xml:space="preserve"> function of the </w:t>
      </w:r>
      <w:r w:rsidRPr="00BA44CD">
        <w:rPr>
          <w:i/>
          <w:iCs/>
        </w:rPr>
        <w:t>psych</w:t>
      </w:r>
      <w:r w:rsidRPr="00BA44CD">
        <w:t xml:space="preserve"> package (</w:t>
      </w:r>
      <w:proofErr w:type="spellStart"/>
      <w:r w:rsidRPr="00BA44CD">
        <w:t>Revelle</w:t>
      </w:r>
      <w:proofErr w:type="spellEnd"/>
      <w:r w:rsidRPr="00BA44CD">
        <w:t xml:space="preserve">, 2017) was used to determine how many students repeated the course; 32 were found. The </w:t>
      </w:r>
      <w:proofErr w:type="spellStart"/>
      <w:r w:rsidRPr="00BA44CD">
        <w:rPr>
          <w:i/>
          <w:iCs/>
        </w:rPr>
        <w:t>glmer</w:t>
      </w:r>
      <w:proofErr w:type="spellEnd"/>
      <w:r w:rsidRPr="00BA44CD">
        <w:rPr>
          <w:i/>
          <w:iCs/>
        </w:rPr>
        <w:t xml:space="preserve"> </w:t>
      </w:r>
      <w:r w:rsidRPr="00BA44CD">
        <w:t>command in the</w:t>
      </w:r>
      <w:r w:rsidRPr="00BA44CD">
        <w:rPr>
          <w:i/>
          <w:iCs/>
        </w:rPr>
        <w:t xml:space="preserve"> lme4 </w:t>
      </w:r>
      <w:r w:rsidRPr="00BA44CD">
        <w:t xml:space="preserve">package (Bates, </w:t>
      </w:r>
      <w:proofErr w:type="spellStart"/>
      <w:r w:rsidRPr="00BA44CD">
        <w:t>Maecheler</w:t>
      </w:r>
      <w:proofErr w:type="spellEnd"/>
      <w:r w:rsidRPr="00BA44CD">
        <w:t xml:space="preserve">, </w:t>
      </w:r>
      <w:proofErr w:type="spellStart"/>
      <w:r w:rsidRPr="00BA44CD">
        <w:t>Bolker</w:t>
      </w:r>
      <w:proofErr w:type="spellEnd"/>
      <w:r w:rsidRPr="00BA44CD">
        <w:t>, &amp; Walker 2015) was used for this analysis.  A model was created using random intercepts for the semester offered (later removed as it explained no variance), and the student’s major.  The following variables were then added to create three other models: ethnicity, gender, age, and format (</w:t>
      </w:r>
      <w:proofErr w:type="spellStart"/>
      <w:r w:rsidRPr="00BA44CD">
        <w:t>i.e</w:t>
      </w:r>
      <w:proofErr w:type="spellEnd"/>
      <w:r w:rsidRPr="00BA44CD">
        <w:t>, face-to-face vs online).  The</w:t>
      </w:r>
      <w:r w:rsidRPr="00BA44CD">
        <w:rPr>
          <w:i/>
          <w:iCs/>
        </w:rPr>
        <w:t xml:space="preserve"> </w:t>
      </w:r>
      <w:proofErr w:type="spellStart"/>
      <w:r w:rsidRPr="00BA44CD">
        <w:rPr>
          <w:i/>
          <w:iCs/>
        </w:rPr>
        <w:t>anova</w:t>
      </w:r>
      <w:proofErr w:type="spellEnd"/>
      <w:r w:rsidRPr="00BA44CD">
        <w:rPr>
          <w:i/>
          <w:iCs/>
        </w:rPr>
        <w:t xml:space="preserve"> </w:t>
      </w:r>
      <w:r w:rsidRPr="00BA44CD">
        <w:t>function in the base package was then used to compare all models.  The effect sizes (conditional &amp; marginal pseudo R</w:t>
      </w:r>
      <w:r w:rsidRPr="00BA44CD">
        <w:rPr>
          <w:vertAlign w:val="superscript"/>
        </w:rPr>
        <w:t>2</w:t>
      </w:r>
      <w:r w:rsidRPr="00BA44CD">
        <w:t xml:space="preserve">) were obtained using the </w:t>
      </w:r>
      <w:proofErr w:type="spellStart"/>
      <w:r w:rsidRPr="00BA44CD">
        <w:rPr>
          <w:i/>
          <w:iCs/>
        </w:rPr>
        <w:t>MuMin</w:t>
      </w:r>
      <w:proofErr w:type="spellEnd"/>
      <w:r w:rsidRPr="00BA44CD">
        <w:t xml:space="preserve"> package (Barton, 2018).</w:t>
      </w:r>
    </w:p>
    <w:p w14:paraId="407850B5" w14:textId="77777777" w:rsidR="00291938" w:rsidRDefault="00291938" w:rsidP="00D94492">
      <w:pPr>
        <w:spacing w:line="360" w:lineRule="auto"/>
        <w:rPr>
          <w:b/>
        </w:rPr>
      </w:pPr>
    </w:p>
    <w:p w14:paraId="0E49D212" w14:textId="0923BA33" w:rsidR="00182E82" w:rsidRPr="006E5717" w:rsidRDefault="00182E82" w:rsidP="00D94492">
      <w:pPr>
        <w:spacing w:line="360" w:lineRule="auto"/>
        <w:rPr>
          <w:b/>
          <w:sz w:val="24"/>
        </w:rPr>
      </w:pPr>
      <w:commentRangeStart w:id="9"/>
      <w:r>
        <w:rPr>
          <w:b/>
          <w:sz w:val="24"/>
        </w:rPr>
        <w:t>Results</w:t>
      </w:r>
      <w:r w:rsidR="00FF7537">
        <w:rPr>
          <w:b/>
          <w:sz w:val="24"/>
        </w:rPr>
        <w:t xml:space="preserve"> and Discussion</w:t>
      </w:r>
      <w:commentRangeEnd w:id="9"/>
      <w:r w:rsidR="00A40974">
        <w:rPr>
          <w:rStyle w:val="CommentReference"/>
        </w:rPr>
        <w:commentReference w:id="9"/>
      </w:r>
    </w:p>
    <w:p w14:paraId="410CBD21" w14:textId="77777777" w:rsidR="00182E82" w:rsidRPr="006E5717" w:rsidRDefault="00182E82" w:rsidP="00D94492">
      <w:pPr>
        <w:spacing w:line="360" w:lineRule="auto"/>
      </w:pPr>
    </w:p>
    <w:p w14:paraId="2AB0F1B5" w14:textId="549CA678" w:rsidR="00FF7537" w:rsidRPr="00BA44CD" w:rsidRDefault="00384F3E" w:rsidP="00D94492">
      <w:pPr>
        <w:spacing w:line="360" w:lineRule="auto"/>
      </w:pPr>
      <w:commentRangeStart w:id="10"/>
      <w:r w:rsidRPr="00BA44CD">
        <w:t>As shown in Table 2 below, ethnicity predicted success in this study.  Non-Caucasian students were 0.6 times as likely to be successful as their Caucasian counterparts, and the marginal pseudo R</w:t>
      </w:r>
      <w:r w:rsidRPr="00BA44CD">
        <w:rPr>
          <w:vertAlign w:val="superscript"/>
        </w:rPr>
        <w:t>2</w:t>
      </w:r>
      <w:r w:rsidRPr="00BA44CD">
        <w:t xml:space="preserve"> described a small effect (marginal pseudo R</w:t>
      </w:r>
      <w:r w:rsidRPr="00BA44CD">
        <w:rPr>
          <w:vertAlign w:val="superscript"/>
        </w:rPr>
        <w:t>2</w:t>
      </w:r>
      <w:r w:rsidRPr="00BA44CD">
        <w:t xml:space="preserve"> in Table 3).  </w:t>
      </w:r>
      <w:r>
        <w:t>No other variables predicted success in this study.</w:t>
      </w:r>
      <w:r w:rsidR="006543F6">
        <w:t xml:space="preserve">  The details may be found in Tables 2 and 3 below.</w:t>
      </w:r>
      <w:commentRangeEnd w:id="10"/>
      <w:r w:rsidR="00A40974">
        <w:rPr>
          <w:rStyle w:val="CommentReference"/>
        </w:rPr>
        <w:commentReference w:id="10"/>
      </w:r>
    </w:p>
    <w:p w14:paraId="525A96CA" w14:textId="77777777" w:rsidR="00291938" w:rsidRPr="00BA44CD" w:rsidRDefault="00291938" w:rsidP="00257852">
      <w:pPr>
        <w:spacing w:line="360" w:lineRule="auto"/>
      </w:pPr>
    </w:p>
    <w:p w14:paraId="67FDF4EF" w14:textId="77777777" w:rsidR="00291938" w:rsidRPr="00BA44CD" w:rsidRDefault="00291938" w:rsidP="00257852">
      <w:pPr>
        <w:spacing w:line="360" w:lineRule="auto"/>
        <w:jc w:val="center"/>
      </w:pPr>
      <w:r w:rsidRPr="00BA44CD">
        <w:t>Table 2: Model Summary</w:t>
      </w: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540"/>
        <w:gridCol w:w="900"/>
        <w:gridCol w:w="720"/>
        <w:gridCol w:w="900"/>
        <w:gridCol w:w="1080"/>
        <w:gridCol w:w="900"/>
        <w:gridCol w:w="828"/>
        <w:gridCol w:w="882"/>
      </w:tblGrid>
      <w:tr w:rsidR="00291938" w:rsidRPr="00BA44CD" w14:paraId="11543A26" w14:textId="77777777" w:rsidTr="00257852">
        <w:trPr>
          <w:trHeight w:val="257"/>
        </w:trPr>
        <w:tc>
          <w:tcPr>
            <w:tcW w:w="2430" w:type="dxa"/>
            <w:tcBorders>
              <w:top w:val="single" w:sz="4" w:space="0" w:color="auto"/>
              <w:bottom w:val="single" w:sz="4" w:space="0" w:color="auto"/>
            </w:tcBorders>
          </w:tcPr>
          <w:p w14:paraId="14AA61EC" w14:textId="77777777" w:rsidR="00291938" w:rsidRPr="00BA44CD" w:rsidRDefault="00291938" w:rsidP="00257852">
            <w:pPr>
              <w:spacing w:line="360" w:lineRule="auto"/>
              <w:rPr>
                <w:color w:val="000000"/>
              </w:rPr>
            </w:pPr>
            <w:r w:rsidRPr="00BA44CD">
              <w:rPr>
                <w:color w:val="000000"/>
              </w:rPr>
              <w:t>Model</w:t>
            </w:r>
          </w:p>
        </w:tc>
        <w:tc>
          <w:tcPr>
            <w:tcW w:w="540" w:type="dxa"/>
            <w:tcBorders>
              <w:top w:val="single" w:sz="4" w:space="0" w:color="auto"/>
              <w:bottom w:val="single" w:sz="4" w:space="0" w:color="auto"/>
            </w:tcBorders>
          </w:tcPr>
          <w:p w14:paraId="677B6031" w14:textId="77777777" w:rsidR="00291938" w:rsidRPr="00BA44CD" w:rsidRDefault="00291938" w:rsidP="00257852">
            <w:pPr>
              <w:spacing w:line="360" w:lineRule="auto"/>
              <w:rPr>
                <w:color w:val="000000"/>
              </w:rPr>
            </w:pPr>
            <w:r w:rsidRPr="00BA44CD">
              <w:rPr>
                <w:color w:val="000000"/>
              </w:rPr>
              <w:t>DF</w:t>
            </w:r>
          </w:p>
        </w:tc>
        <w:tc>
          <w:tcPr>
            <w:tcW w:w="900" w:type="dxa"/>
            <w:tcBorders>
              <w:top w:val="single" w:sz="4" w:space="0" w:color="auto"/>
              <w:bottom w:val="single" w:sz="4" w:space="0" w:color="auto"/>
            </w:tcBorders>
          </w:tcPr>
          <w:p w14:paraId="03262041" w14:textId="77777777" w:rsidR="00291938" w:rsidRPr="00BA44CD" w:rsidRDefault="00291938" w:rsidP="00257852">
            <w:pPr>
              <w:spacing w:line="360" w:lineRule="auto"/>
              <w:rPr>
                <w:color w:val="000000"/>
              </w:rPr>
            </w:pPr>
            <w:r w:rsidRPr="00BA44CD">
              <w:rPr>
                <w:color w:val="000000"/>
              </w:rPr>
              <w:t>AIC</w:t>
            </w:r>
          </w:p>
        </w:tc>
        <w:tc>
          <w:tcPr>
            <w:tcW w:w="720" w:type="dxa"/>
            <w:tcBorders>
              <w:top w:val="single" w:sz="4" w:space="0" w:color="auto"/>
              <w:bottom w:val="single" w:sz="4" w:space="0" w:color="auto"/>
            </w:tcBorders>
          </w:tcPr>
          <w:p w14:paraId="68B01907" w14:textId="77777777" w:rsidR="00291938" w:rsidRPr="00BA44CD" w:rsidRDefault="00291938" w:rsidP="00257852">
            <w:pPr>
              <w:spacing w:line="360" w:lineRule="auto"/>
              <w:rPr>
                <w:color w:val="000000"/>
              </w:rPr>
            </w:pPr>
            <w:r w:rsidRPr="00BA44CD">
              <w:rPr>
                <w:color w:val="000000"/>
              </w:rPr>
              <w:t>BIC</w:t>
            </w:r>
          </w:p>
        </w:tc>
        <w:tc>
          <w:tcPr>
            <w:tcW w:w="900" w:type="dxa"/>
            <w:tcBorders>
              <w:top w:val="single" w:sz="4" w:space="0" w:color="auto"/>
              <w:bottom w:val="single" w:sz="4" w:space="0" w:color="auto"/>
            </w:tcBorders>
          </w:tcPr>
          <w:p w14:paraId="46BD2352" w14:textId="77777777" w:rsidR="00291938" w:rsidRPr="00BA44CD" w:rsidRDefault="00291938" w:rsidP="00257852">
            <w:pPr>
              <w:spacing w:line="360" w:lineRule="auto"/>
              <w:rPr>
                <w:color w:val="000000"/>
              </w:rPr>
            </w:pPr>
            <w:r w:rsidRPr="00BA44CD">
              <w:rPr>
                <w:color w:val="000000"/>
              </w:rPr>
              <w:t>LL</w:t>
            </w:r>
          </w:p>
        </w:tc>
        <w:tc>
          <w:tcPr>
            <w:tcW w:w="1080" w:type="dxa"/>
            <w:tcBorders>
              <w:top w:val="single" w:sz="4" w:space="0" w:color="auto"/>
              <w:bottom w:val="single" w:sz="4" w:space="0" w:color="auto"/>
            </w:tcBorders>
          </w:tcPr>
          <w:p w14:paraId="6100E258" w14:textId="77777777" w:rsidR="00291938" w:rsidRPr="00BA44CD" w:rsidRDefault="00291938" w:rsidP="00257852">
            <w:pPr>
              <w:spacing w:line="360" w:lineRule="auto"/>
              <w:rPr>
                <w:color w:val="000000"/>
              </w:rPr>
            </w:pPr>
            <w:r w:rsidRPr="00BA44CD">
              <w:rPr>
                <w:color w:val="000000"/>
              </w:rPr>
              <w:t>Deviance</w:t>
            </w:r>
          </w:p>
        </w:tc>
        <w:tc>
          <w:tcPr>
            <w:tcW w:w="900" w:type="dxa"/>
            <w:tcBorders>
              <w:top w:val="single" w:sz="4" w:space="0" w:color="auto"/>
              <w:bottom w:val="single" w:sz="4" w:space="0" w:color="auto"/>
            </w:tcBorders>
          </w:tcPr>
          <w:p w14:paraId="79F836D6" w14:textId="77777777" w:rsidR="00291938" w:rsidRPr="00BA44CD" w:rsidRDefault="00291938" w:rsidP="00257852">
            <w:pPr>
              <w:spacing w:line="360" w:lineRule="auto"/>
              <w:rPr>
                <w:color w:val="000000"/>
              </w:rPr>
            </w:pPr>
            <w:proofErr w:type="spellStart"/>
            <w:r w:rsidRPr="00BA44CD">
              <w:rPr>
                <w:color w:val="000000"/>
              </w:rPr>
              <w:t>Chisq</w:t>
            </w:r>
            <w:proofErr w:type="spellEnd"/>
          </w:p>
        </w:tc>
        <w:tc>
          <w:tcPr>
            <w:tcW w:w="828" w:type="dxa"/>
            <w:tcBorders>
              <w:top w:val="single" w:sz="4" w:space="0" w:color="auto"/>
              <w:bottom w:val="single" w:sz="4" w:space="0" w:color="auto"/>
            </w:tcBorders>
          </w:tcPr>
          <w:p w14:paraId="425CAD06" w14:textId="77777777" w:rsidR="00291938" w:rsidRPr="00BA44CD" w:rsidRDefault="00291938" w:rsidP="00257852">
            <w:pPr>
              <w:spacing w:line="360" w:lineRule="auto"/>
              <w:rPr>
                <w:color w:val="000000"/>
              </w:rPr>
            </w:pPr>
            <w:r w:rsidRPr="00BA44CD">
              <w:rPr>
                <w:color w:val="000000"/>
              </w:rPr>
              <w:t>Chi DF</w:t>
            </w:r>
          </w:p>
        </w:tc>
        <w:tc>
          <w:tcPr>
            <w:tcW w:w="882" w:type="dxa"/>
            <w:tcBorders>
              <w:top w:val="single" w:sz="4" w:space="0" w:color="auto"/>
              <w:bottom w:val="single" w:sz="4" w:space="0" w:color="auto"/>
            </w:tcBorders>
          </w:tcPr>
          <w:p w14:paraId="78668DA0" w14:textId="77777777" w:rsidR="00291938" w:rsidRPr="00BA44CD" w:rsidRDefault="00291938" w:rsidP="00257852">
            <w:pPr>
              <w:spacing w:line="360" w:lineRule="auto"/>
              <w:rPr>
                <w:color w:val="000000"/>
              </w:rPr>
            </w:pPr>
            <w:r w:rsidRPr="00BA44CD">
              <w:rPr>
                <w:color w:val="000000"/>
              </w:rPr>
              <w:t>p-value</w:t>
            </w:r>
          </w:p>
        </w:tc>
      </w:tr>
      <w:tr w:rsidR="00291938" w:rsidRPr="00BA44CD" w14:paraId="285E282C" w14:textId="77777777" w:rsidTr="00257852">
        <w:trPr>
          <w:trHeight w:val="257"/>
        </w:trPr>
        <w:tc>
          <w:tcPr>
            <w:tcW w:w="2430" w:type="dxa"/>
            <w:tcBorders>
              <w:top w:val="single" w:sz="4" w:space="0" w:color="auto"/>
            </w:tcBorders>
          </w:tcPr>
          <w:p w14:paraId="67478391" w14:textId="77777777" w:rsidR="00291938" w:rsidRPr="00BA44CD" w:rsidRDefault="00291938" w:rsidP="00257852">
            <w:pPr>
              <w:spacing w:line="360" w:lineRule="auto"/>
              <w:rPr>
                <w:color w:val="000000"/>
              </w:rPr>
            </w:pPr>
            <w:r w:rsidRPr="00BA44CD">
              <w:rPr>
                <w:color w:val="000000"/>
              </w:rPr>
              <w:t>M</w:t>
            </w:r>
          </w:p>
        </w:tc>
        <w:tc>
          <w:tcPr>
            <w:tcW w:w="540" w:type="dxa"/>
            <w:tcBorders>
              <w:top w:val="single" w:sz="4" w:space="0" w:color="auto"/>
            </w:tcBorders>
          </w:tcPr>
          <w:p w14:paraId="3D8F419E" w14:textId="77777777" w:rsidR="00291938" w:rsidRPr="00BA44CD" w:rsidRDefault="00291938" w:rsidP="00257852">
            <w:pPr>
              <w:spacing w:line="360" w:lineRule="auto"/>
              <w:rPr>
                <w:color w:val="000000"/>
              </w:rPr>
            </w:pPr>
            <w:r w:rsidRPr="00BA44CD">
              <w:rPr>
                <w:color w:val="000000"/>
              </w:rPr>
              <w:t>2</w:t>
            </w:r>
          </w:p>
        </w:tc>
        <w:tc>
          <w:tcPr>
            <w:tcW w:w="900" w:type="dxa"/>
            <w:tcBorders>
              <w:top w:val="single" w:sz="4" w:space="0" w:color="auto"/>
            </w:tcBorders>
          </w:tcPr>
          <w:p w14:paraId="3BD53279" w14:textId="77777777" w:rsidR="00291938" w:rsidRPr="00BA44CD" w:rsidRDefault="00291938" w:rsidP="00257852">
            <w:pPr>
              <w:spacing w:line="360" w:lineRule="auto"/>
              <w:rPr>
                <w:color w:val="000000"/>
              </w:rPr>
            </w:pPr>
            <w:r w:rsidRPr="00BA44CD">
              <w:rPr>
                <w:color w:val="000000"/>
              </w:rPr>
              <w:t>818.6</w:t>
            </w:r>
          </w:p>
        </w:tc>
        <w:tc>
          <w:tcPr>
            <w:tcW w:w="720" w:type="dxa"/>
            <w:tcBorders>
              <w:top w:val="single" w:sz="4" w:space="0" w:color="auto"/>
            </w:tcBorders>
          </w:tcPr>
          <w:p w14:paraId="7CFE3142" w14:textId="77777777" w:rsidR="00291938" w:rsidRPr="00BA44CD" w:rsidRDefault="00291938" w:rsidP="00257852">
            <w:pPr>
              <w:spacing w:line="360" w:lineRule="auto"/>
              <w:rPr>
                <w:color w:val="000000"/>
              </w:rPr>
            </w:pPr>
            <w:r w:rsidRPr="00BA44CD">
              <w:rPr>
                <w:color w:val="000000"/>
              </w:rPr>
              <w:t>828.3</w:t>
            </w:r>
          </w:p>
        </w:tc>
        <w:tc>
          <w:tcPr>
            <w:tcW w:w="900" w:type="dxa"/>
            <w:tcBorders>
              <w:top w:val="single" w:sz="4" w:space="0" w:color="auto"/>
            </w:tcBorders>
          </w:tcPr>
          <w:p w14:paraId="3EB4A0FF" w14:textId="77777777" w:rsidR="00291938" w:rsidRPr="00BA44CD" w:rsidRDefault="00291938" w:rsidP="00257852">
            <w:pPr>
              <w:spacing w:line="360" w:lineRule="auto"/>
              <w:rPr>
                <w:color w:val="000000"/>
              </w:rPr>
            </w:pPr>
            <w:r w:rsidRPr="00BA44CD">
              <w:rPr>
                <w:color w:val="000000"/>
              </w:rPr>
              <w:t>-407.3</w:t>
            </w:r>
          </w:p>
        </w:tc>
        <w:tc>
          <w:tcPr>
            <w:tcW w:w="1080" w:type="dxa"/>
            <w:tcBorders>
              <w:top w:val="single" w:sz="4" w:space="0" w:color="auto"/>
            </w:tcBorders>
          </w:tcPr>
          <w:p w14:paraId="32911F65" w14:textId="77777777" w:rsidR="00291938" w:rsidRPr="00BA44CD" w:rsidRDefault="00291938" w:rsidP="00257852">
            <w:pPr>
              <w:spacing w:line="360" w:lineRule="auto"/>
              <w:rPr>
                <w:color w:val="000000"/>
              </w:rPr>
            </w:pPr>
            <w:r w:rsidRPr="00BA44CD">
              <w:rPr>
                <w:color w:val="000000"/>
              </w:rPr>
              <w:t>814.6</w:t>
            </w:r>
          </w:p>
        </w:tc>
        <w:tc>
          <w:tcPr>
            <w:tcW w:w="900" w:type="dxa"/>
            <w:tcBorders>
              <w:top w:val="single" w:sz="4" w:space="0" w:color="auto"/>
            </w:tcBorders>
          </w:tcPr>
          <w:p w14:paraId="046E277B" w14:textId="77777777" w:rsidR="00291938" w:rsidRPr="00BA44CD" w:rsidRDefault="00291938" w:rsidP="00257852">
            <w:pPr>
              <w:spacing w:line="360" w:lineRule="auto"/>
              <w:rPr>
                <w:color w:val="000000"/>
              </w:rPr>
            </w:pPr>
          </w:p>
        </w:tc>
        <w:tc>
          <w:tcPr>
            <w:tcW w:w="828" w:type="dxa"/>
            <w:tcBorders>
              <w:top w:val="single" w:sz="4" w:space="0" w:color="auto"/>
            </w:tcBorders>
          </w:tcPr>
          <w:p w14:paraId="10ED5F98" w14:textId="77777777" w:rsidR="00291938" w:rsidRPr="00BA44CD" w:rsidRDefault="00291938" w:rsidP="00257852">
            <w:pPr>
              <w:spacing w:line="360" w:lineRule="auto"/>
              <w:rPr>
                <w:color w:val="000000"/>
              </w:rPr>
            </w:pPr>
          </w:p>
        </w:tc>
        <w:tc>
          <w:tcPr>
            <w:tcW w:w="882" w:type="dxa"/>
            <w:tcBorders>
              <w:top w:val="single" w:sz="4" w:space="0" w:color="auto"/>
            </w:tcBorders>
          </w:tcPr>
          <w:p w14:paraId="7D790FC0" w14:textId="77777777" w:rsidR="00291938" w:rsidRPr="00BA44CD" w:rsidRDefault="00291938" w:rsidP="00257852">
            <w:pPr>
              <w:spacing w:line="360" w:lineRule="auto"/>
              <w:rPr>
                <w:color w:val="000000"/>
              </w:rPr>
            </w:pPr>
          </w:p>
        </w:tc>
      </w:tr>
      <w:tr w:rsidR="00291938" w:rsidRPr="00BA44CD" w14:paraId="6F262E03" w14:textId="77777777" w:rsidTr="00257852">
        <w:trPr>
          <w:trHeight w:val="268"/>
        </w:trPr>
        <w:tc>
          <w:tcPr>
            <w:tcW w:w="2430" w:type="dxa"/>
          </w:tcPr>
          <w:p w14:paraId="3F37D75B" w14:textId="77777777" w:rsidR="00291938" w:rsidRPr="00BA44CD" w:rsidRDefault="00291938" w:rsidP="00257852">
            <w:pPr>
              <w:spacing w:line="360" w:lineRule="auto"/>
              <w:rPr>
                <w:color w:val="000000"/>
              </w:rPr>
            </w:pPr>
            <w:r w:rsidRPr="00BA44CD">
              <w:rPr>
                <w:color w:val="000000"/>
              </w:rPr>
              <w:t>M + E**</w:t>
            </w:r>
          </w:p>
        </w:tc>
        <w:tc>
          <w:tcPr>
            <w:tcW w:w="540" w:type="dxa"/>
          </w:tcPr>
          <w:p w14:paraId="5C4DA0D0" w14:textId="77777777" w:rsidR="00291938" w:rsidRPr="00BA44CD" w:rsidRDefault="00291938" w:rsidP="00257852">
            <w:pPr>
              <w:spacing w:line="360" w:lineRule="auto"/>
              <w:rPr>
                <w:color w:val="000000"/>
              </w:rPr>
            </w:pPr>
            <w:r w:rsidRPr="00BA44CD">
              <w:rPr>
                <w:color w:val="000000"/>
              </w:rPr>
              <w:t>3</w:t>
            </w:r>
          </w:p>
        </w:tc>
        <w:tc>
          <w:tcPr>
            <w:tcW w:w="900" w:type="dxa"/>
          </w:tcPr>
          <w:p w14:paraId="291F34D7" w14:textId="77777777" w:rsidR="00291938" w:rsidRPr="00BA44CD" w:rsidRDefault="00291938" w:rsidP="00257852">
            <w:pPr>
              <w:spacing w:line="360" w:lineRule="auto"/>
              <w:rPr>
                <w:color w:val="000000"/>
              </w:rPr>
            </w:pPr>
            <w:r w:rsidRPr="00BA44CD">
              <w:rPr>
                <w:color w:val="000000"/>
              </w:rPr>
              <w:t>813.2</w:t>
            </w:r>
          </w:p>
        </w:tc>
        <w:tc>
          <w:tcPr>
            <w:tcW w:w="720" w:type="dxa"/>
          </w:tcPr>
          <w:p w14:paraId="2D3AD773" w14:textId="77777777" w:rsidR="00291938" w:rsidRPr="00BA44CD" w:rsidRDefault="00291938" w:rsidP="00257852">
            <w:pPr>
              <w:spacing w:line="360" w:lineRule="auto"/>
              <w:rPr>
                <w:color w:val="000000"/>
              </w:rPr>
            </w:pPr>
            <w:r w:rsidRPr="00BA44CD">
              <w:rPr>
                <w:color w:val="000000"/>
              </w:rPr>
              <w:t>827.7</w:t>
            </w:r>
          </w:p>
        </w:tc>
        <w:tc>
          <w:tcPr>
            <w:tcW w:w="900" w:type="dxa"/>
          </w:tcPr>
          <w:p w14:paraId="45682B39" w14:textId="77777777" w:rsidR="00291938" w:rsidRPr="00BA44CD" w:rsidRDefault="00291938" w:rsidP="00257852">
            <w:pPr>
              <w:spacing w:line="360" w:lineRule="auto"/>
              <w:rPr>
                <w:color w:val="000000"/>
              </w:rPr>
            </w:pPr>
            <w:r w:rsidRPr="00BA44CD">
              <w:rPr>
                <w:color w:val="000000"/>
              </w:rPr>
              <w:t>-403.6</w:t>
            </w:r>
          </w:p>
        </w:tc>
        <w:tc>
          <w:tcPr>
            <w:tcW w:w="1080" w:type="dxa"/>
          </w:tcPr>
          <w:p w14:paraId="484EF862" w14:textId="77777777" w:rsidR="00291938" w:rsidRPr="00BA44CD" w:rsidRDefault="00291938" w:rsidP="00257852">
            <w:pPr>
              <w:spacing w:line="360" w:lineRule="auto"/>
              <w:rPr>
                <w:color w:val="000000"/>
              </w:rPr>
            </w:pPr>
            <w:r w:rsidRPr="00BA44CD">
              <w:rPr>
                <w:color w:val="000000"/>
              </w:rPr>
              <w:t>807.2</w:t>
            </w:r>
          </w:p>
        </w:tc>
        <w:tc>
          <w:tcPr>
            <w:tcW w:w="900" w:type="dxa"/>
          </w:tcPr>
          <w:p w14:paraId="189B96CE" w14:textId="77777777" w:rsidR="00291938" w:rsidRPr="00BA44CD" w:rsidRDefault="00291938" w:rsidP="00257852">
            <w:pPr>
              <w:spacing w:line="360" w:lineRule="auto"/>
              <w:rPr>
                <w:color w:val="000000"/>
              </w:rPr>
            </w:pPr>
            <w:r w:rsidRPr="00BA44CD">
              <w:rPr>
                <w:color w:val="000000"/>
              </w:rPr>
              <w:t>7.5</w:t>
            </w:r>
          </w:p>
        </w:tc>
        <w:tc>
          <w:tcPr>
            <w:tcW w:w="828" w:type="dxa"/>
          </w:tcPr>
          <w:p w14:paraId="23F51017" w14:textId="77777777" w:rsidR="00291938" w:rsidRPr="00BA44CD" w:rsidRDefault="00291938" w:rsidP="00257852">
            <w:pPr>
              <w:spacing w:line="360" w:lineRule="auto"/>
              <w:rPr>
                <w:color w:val="000000"/>
              </w:rPr>
            </w:pPr>
            <w:r w:rsidRPr="00BA44CD">
              <w:rPr>
                <w:color w:val="000000"/>
              </w:rPr>
              <w:t>1</w:t>
            </w:r>
          </w:p>
        </w:tc>
        <w:tc>
          <w:tcPr>
            <w:tcW w:w="882" w:type="dxa"/>
          </w:tcPr>
          <w:p w14:paraId="0B76FF20" w14:textId="77777777" w:rsidR="00291938" w:rsidRPr="00BA44CD" w:rsidRDefault="00291938" w:rsidP="00257852">
            <w:pPr>
              <w:spacing w:line="360" w:lineRule="auto"/>
              <w:rPr>
                <w:color w:val="000000"/>
              </w:rPr>
            </w:pPr>
            <w:r w:rsidRPr="00BA44CD">
              <w:rPr>
                <w:color w:val="000000"/>
              </w:rPr>
              <w:t>0.006</w:t>
            </w:r>
          </w:p>
        </w:tc>
      </w:tr>
      <w:tr w:rsidR="00291938" w:rsidRPr="00BA44CD" w14:paraId="67175FCA" w14:textId="77777777" w:rsidTr="00257852">
        <w:trPr>
          <w:trHeight w:val="257"/>
        </w:trPr>
        <w:tc>
          <w:tcPr>
            <w:tcW w:w="2430" w:type="dxa"/>
          </w:tcPr>
          <w:p w14:paraId="26C01C8E" w14:textId="77777777" w:rsidR="00291938" w:rsidRPr="00BA44CD" w:rsidRDefault="00291938" w:rsidP="00257852">
            <w:pPr>
              <w:spacing w:line="360" w:lineRule="auto"/>
              <w:rPr>
                <w:color w:val="000000"/>
              </w:rPr>
            </w:pPr>
            <w:r w:rsidRPr="00BA44CD">
              <w:rPr>
                <w:color w:val="000000"/>
              </w:rPr>
              <w:t>M + E + G</w:t>
            </w:r>
          </w:p>
        </w:tc>
        <w:tc>
          <w:tcPr>
            <w:tcW w:w="540" w:type="dxa"/>
          </w:tcPr>
          <w:p w14:paraId="331449FB" w14:textId="77777777" w:rsidR="00291938" w:rsidRPr="00BA44CD" w:rsidRDefault="00291938" w:rsidP="00257852">
            <w:pPr>
              <w:spacing w:line="360" w:lineRule="auto"/>
              <w:rPr>
                <w:color w:val="000000"/>
              </w:rPr>
            </w:pPr>
            <w:r w:rsidRPr="00BA44CD">
              <w:rPr>
                <w:color w:val="000000"/>
              </w:rPr>
              <w:t>4</w:t>
            </w:r>
          </w:p>
        </w:tc>
        <w:tc>
          <w:tcPr>
            <w:tcW w:w="900" w:type="dxa"/>
          </w:tcPr>
          <w:p w14:paraId="2C66E638" w14:textId="77777777" w:rsidR="00291938" w:rsidRPr="00BA44CD" w:rsidRDefault="00291938" w:rsidP="00257852">
            <w:pPr>
              <w:spacing w:line="360" w:lineRule="auto"/>
              <w:rPr>
                <w:color w:val="000000"/>
              </w:rPr>
            </w:pPr>
            <w:r w:rsidRPr="00BA44CD">
              <w:rPr>
                <w:color w:val="000000"/>
              </w:rPr>
              <w:t>815.0</w:t>
            </w:r>
          </w:p>
        </w:tc>
        <w:tc>
          <w:tcPr>
            <w:tcW w:w="720" w:type="dxa"/>
          </w:tcPr>
          <w:p w14:paraId="029AC97D" w14:textId="77777777" w:rsidR="00291938" w:rsidRPr="00BA44CD" w:rsidRDefault="00291938" w:rsidP="00257852">
            <w:pPr>
              <w:spacing w:line="360" w:lineRule="auto"/>
              <w:rPr>
                <w:color w:val="000000"/>
              </w:rPr>
            </w:pPr>
            <w:r w:rsidRPr="00BA44CD">
              <w:rPr>
                <w:color w:val="000000"/>
              </w:rPr>
              <w:t>834.5</w:t>
            </w:r>
          </w:p>
        </w:tc>
        <w:tc>
          <w:tcPr>
            <w:tcW w:w="900" w:type="dxa"/>
          </w:tcPr>
          <w:p w14:paraId="07307D68" w14:textId="77777777" w:rsidR="00291938" w:rsidRPr="00BA44CD" w:rsidRDefault="00291938" w:rsidP="00257852">
            <w:pPr>
              <w:spacing w:line="360" w:lineRule="auto"/>
              <w:rPr>
                <w:color w:val="000000"/>
              </w:rPr>
            </w:pPr>
            <w:r w:rsidRPr="00BA44CD">
              <w:rPr>
                <w:color w:val="000000"/>
              </w:rPr>
              <w:t>-403.5</w:t>
            </w:r>
          </w:p>
        </w:tc>
        <w:tc>
          <w:tcPr>
            <w:tcW w:w="1080" w:type="dxa"/>
          </w:tcPr>
          <w:p w14:paraId="6A47ACB6" w14:textId="77777777" w:rsidR="00291938" w:rsidRPr="00BA44CD" w:rsidRDefault="00291938" w:rsidP="00257852">
            <w:pPr>
              <w:spacing w:line="360" w:lineRule="auto"/>
              <w:rPr>
                <w:color w:val="000000"/>
              </w:rPr>
            </w:pPr>
            <w:r w:rsidRPr="00BA44CD">
              <w:rPr>
                <w:color w:val="000000"/>
              </w:rPr>
              <w:t>807.0</w:t>
            </w:r>
          </w:p>
        </w:tc>
        <w:tc>
          <w:tcPr>
            <w:tcW w:w="900" w:type="dxa"/>
          </w:tcPr>
          <w:p w14:paraId="5AB9C036" w14:textId="77777777" w:rsidR="00291938" w:rsidRPr="00BA44CD" w:rsidRDefault="00291938" w:rsidP="00257852">
            <w:pPr>
              <w:spacing w:line="360" w:lineRule="auto"/>
              <w:rPr>
                <w:color w:val="000000"/>
              </w:rPr>
            </w:pPr>
            <w:r w:rsidRPr="00BA44CD">
              <w:rPr>
                <w:color w:val="000000"/>
              </w:rPr>
              <w:t>0.1</w:t>
            </w:r>
          </w:p>
        </w:tc>
        <w:tc>
          <w:tcPr>
            <w:tcW w:w="828" w:type="dxa"/>
          </w:tcPr>
          <w:p w14:paraId="230FBD12" w14:textId="77777777" w:rsidR="00291938" w:rsidRPr="00BA44CD" w:rsidRDefault="00291938" w:rsidP="00257852">
            <w:pPr>
              <w:spacing w:line="360" w:lineRule="auto"/>
              <w:rPr>
                <w:color w:val="000000"/>
              </w:rPr>
            </w:pPr>
            <w:r w:rsidRPr="00BA44CD">
              <w:rPr>
                <w:color w:val="000000"/>
              </w:rPr>
              <w:t>1</w:t>
            </w:r>
          </w:p>
        </w:tc>
        <w:tc>
          <w:tcPr>
            <w:tcW w:w="882" w:type="dxa"/>
          </w:tcPr>
          <w:p w14:paraId="2DD53322" w14:textId="77777777" w:rsidR="00291938" w:rsidRPr="00BA44CD" w:rsidRDefault="00291938" w:rsidP="00257852">
            <w:pPr>
              <w:spacing w:line="360" w:lineRule="auto"/>
              <w:rPr>
                <w:color w:val="000000"/>
              </w:rPr>
            </w:pPr>
            <w:r w:rsidRPr="00BA44CD">
              <w:rPr>
                <w:color w:val="000000"/>
              </w:rPr>
              <w:t>1.0</w:t>
            </w:r>
          </w:p>
        </w:tc>
      </w:tr>
      <w:tr w:rsidR="00291938" w:rsidRPr="00BA44CD" w14:paraId="719C1D76" w14:textId="77777777" w:rsidTr="00257852">
        <w:trPr>
          <w:trHeight w:val="257"/>
        </w:trPr>
        <w:tc>
          <w:tcPr>
            <w:tcW w:w="2430" w:type="dxa"/>
          </w:tcPr>
          <w:p w14:paraId="06C2AA51" w14:textId="77777777" w:rsidR="00291938" w:rsidRPr="00BA44CD" w:rsidRDefault="00291938" w:rsidP="00257852">
            <w:pPr>
              <w:spacing w:line="360" w:lineRule="auto"/>
              <w:rPr>
                <w:color w:val="000000"/>
              </w:rPr>
            </w:pPr>
            <w:r w:rsidRPr="00BA44CD">
              <w:rPr>
                <w:color w:val="000000"/>
              </w:rPr>
              <w:t>M + E + G + E*G</w:t>
            </w:r>
          </w:p>
        </w:tc>
        <w:tc>
          <w:tcPr>
            <w:tcW w:w="540" w:type="dxa"/>
          </w:tcPr>
          <w:p w14:paraId="750CA869" w14:textId="77777777" w:rsidR="00291938" w:rsidRPr="00BA44CD" w:rsidRDefault="00291938" w:rsidP="00257852">
            <w:pPr>
              <w:spacing w:line="360" w:lineRule="auto"/>
              <w:rPr>
                <w:color w:val="000000"/>
              </w:rPr>
            </w:pPr>
            <w:r w:rsidRPr="00BA44CD">
              <w:rPr>
                <w:color w:val="000000"/>
              </w:rPr>
              <w:t>5</w:t>
            </w:r>
          </w:p>
        </w:tc>
        <w:tc>
          <w:tcPr>
            <w:tcW w:w="900" w:type="dxa"/>
          </w:tcPr>
          <w:p w14:paraId="01A5ACD3" w14:textId="77777777" w:rsidR="00291938" w:rsidRPr="00BA44CD" w:rsidRDefault="00291938" w:rsidP="00257852">
            <w:pPr>
              <w:spacing w:line="360" w:lineRule="auto"/>
              <w:rPr>
                <w:color w:val="000000"/>
              </w:rPr>
            </w:pPr>
            <w:r w:rsidRPr="00BA44CD">
              <w:rPr>
                <w:color w:val="000000"/>
              </w:rPr>
              <w:t>817.0</w:t>
            </w:r>
          </w:p>
        </w:tc>
        <w:tc>
          <w:tcPr>
            <w:tcW w:w="720" w:type="dxa"/>
          </w:tcPr>
          <w:p w14:paraId="4BE3C4B0" w14:textId="77777777" w:rsidR="00291938" w:rsidRPr="00BA44CD" w:rsidRDefault="00291938" w:rsidP="00257852">
            <w:pPr>
              <w:spacing w:line="360" w:lineRule="auto"/>
              <w:rPr>
                <w:color w:val="000000"/>
              </w:rPr>
            </w:pPr>
            <w:r w:rsidRPr="00BA44CD">
              <w:rPr>
                <w:color w:val="000000"/>
              </w:rPr>
              <w:t>841.3</w:t>
            </w:r>
          </w:p>
        </w:tc>
        <w:tc>
          <w:tcPr>
            <w:tcW w:w="900" w:type="dxa"/>
          </w:tcPr>
          <w:p w14:paraId="7BFD69F4" w14:textId="77777777" w:rsidR="00291938" w:rsidRPr="00BA44CD" w:rsidRDefault="00291938" w:rsidP="00257852">
            <w:pPr>
              <w:spacing w:line="360" w:lineRule="auto"/>
              <w:rPr>
                <w:color w:val="000000"/>
              </w:rPr>
            </w:pPr>
            <w:r w:rsidRPr="00BA44CD">
              <w:rPr>
                <w:color w:val="000000"/>
              </w:rPr>
              <w:t>-403.5</w:t>
            </w:r>
          </w:p>
        </w:tc>
        <w:tc>
          <w:tcPr>
            <w:tcW w:w="1080" w:type="dxa"/>
          </w:tcPr>
          <w:p w14:paraId="43D6AF06" w14:textId="77777777" w:rsidR="00291938" w:rsidRPr="00BA44CD" w:rsidRDefault="00291938" w:rsidP="00257852">
            <w:pPr>
              <w:spacing w:line="360" w:lineRule="auto"/>
              <w:rPr>
                <w:color w:val="000000"/>
              </w:rPr>
            </w:pPr>
            <w:r w:rsidRPr="00BA44CD">
              <w:rPr>
                <w:color w:val="000000"/>
              </w:rPr>
              <w:t>807.0</w:t>
            </w:r>
          </w:p>
        </w:tc>
        <w:tc>
          <w:tcPr>
            <w:tcW w:w="900" w:type="dxa"/>
          </w:tcPr>
          <w:p w14:paraId="1E055CE9" w14:textId="77777777" w:rsidR="00291938" w:rsidRPr="00BA44CD" w:rsidRDefault="00291938" w:rsidP="00257852">
            <w:pPr>
              <w:spacing w:line="360" w:lineRule="auto"/>
              <w:rPr>
                <w:color w:val="000000"/>
              </w:rPr>
            </w:pPr>
            <w:r w:rsidRPr="00BA44CD">
              <w:rPr>
                <w:color w:val="000000"/>
              </w:rPr>
              <w:t>0.0</w:t>
            </w:r>
          </w:p>
        </w:tc>
        <w:tc>
          <w:tcPr>
            <w:tcW w:w="828" w:type="dxa"/>
          </w:tcPr>
          <w:p w14:paraId="4ECA276B" w14:textId="77777777" w:rsidR="00291938" w:rsidRPr="00BA44CD" w:rsidRDefault="00291938" w:rsidP="00257852">
            <w:pPr>
              <w:spacing w:line="360" w:lineRule="auto"/>
              <w:rPr>
                <w:color w:val="000000"/>
              </w:rPr>
            </w:pPr>
            <w:r w:rsidRPr="00BA44CD">
              <w:rPr>
                <w:color w:val="000000"/>
              </w:rPr>
              <w:t>1</w:t>
            </w:r>
          </w:p>
        </w:tc>
        <w:tc>
          <w:tcPr>
            <w:tcW w:w="882" w:type="dxa"/>
          </w:tcPr>
          <w:p w14:paraId="3C57065E" w14:textId="77777777" w:rsidR="00291938" w:rsidRPr="00BA44CD" w:rsidRDefault="00291938" w:rsidP="00257852">
            <w:pPr>
              <w:spacing w:line="360" w:lineRule="auto"/>
              <w:rPr>
                <w:color w:val="000000"/>
              </w:rPr>
            </w:pPr>
            <w:r w:rsidRPr="00BA44CD">
              <w:rPr>
                <w:color w:val="000000"/>
              </w:rPr>
              <w:t>0.9</w:t>
            </w:r>
          </w:p>
        </w:tc>
      </w:tr>
      <w:tr w:rsidR="00291938" w:rsidRPr="00BA44CD" w14:paraId="3678E589" w14:textId="77777777" w:rsidTr="00257852">
        <w:trPr>
          <w:trHeight w:val="257"/>
        </w:trPr>
        <w:tc>
          <w:tcPr>
            <w:tcW w:w="2430" w:type="dxa"/>
          </w:tcPr>
          <w:p w14:paraId="0D23257E" w14:textId="77777777" w:rsidR="00291938" w:rsidRPr="00BA44CD" w:rsidRDefault="00291938" w:rsidP="00257852">
            <w:pPr>
              <w:spacing w:line="360" w:lineRule="auto"/>
              <w:rPr>
                <w:color w:val="000000"/>
              </w:rPr>
            </w:pPr>
            <w:r w:rsidRPr="00BA44CD">
              <w:rPr>
                <w:color w:val="000000"/>
              </w:rPr>
              <w:t>M + E + G + E*G + A</w:t>
            </w:r>
          </w:p>
        </w:tc>
        <w:tc>
          <w:tcPr>
            <w:tcW w:w="540" w:type="dxa"/>
          </w:tcPr>
          <w:p w14:paraId="1861FC5D" w14:textId="77777777" w:rsidR="00291938" w:rsidRPr="00BA44CD" w:rsidRDefault="00291938" w:rsidP="00257852">
            <w:pPr>
              <w:spacing w:line="360" w:lineRule="auto"/>
              <w:rPr>
                <w:color w:val="000000"/>
              </w:rPr>
            </w:pPr>
            <w:r w:rsidRPr="00BA44CD">
              <w:rPr>
                <w:color w:val="000000"/>
              </w:rPr>
              <w:t>7</w:t>
            </w:r>
          </w:p>
        </w:tc>
        <w:tc>
          <w:tcPr>
            <w:tcW w:w="900" w:type="dxa"/>
          </w:tcPr>
          <w:p w14:paraId="021B27FF" w14:textId="77777777" w:rsidR="00291938" w:rsidRPr="00BA44CD" w:rsidRDefault="00291938" w:rsidP="00257852">
            <w:pPr>
              <w:spacing w:line="360" w:lineRule="auto"/>
              <w:rPr>
                <w:color w:val="000000"/>
              </w:rPr>
            </w:pPr>
            <w:r w:rsidRPr="00BA44CD">
              <w:rPr>
                <w:color w:val="000000"/>
              </w:rPr>
              <w:t>820.3</w:t>
            </w:r>
          </w:p>
        </w:tc>
        <w:tc>
          <w:tcPr>
            <w:tcW w:w="720" w:type="dxa"/>
          </w:tcPr>
          <w:p w14:paraId="66DA1B8E" w14:textId="77777777" w:rsidR="00291938" w:rsidRPr="00BA44CD" w:rsidRDefault="00291938" w:rsidP="00257852">
            <w:pPr>
              <w:spacing w:line="360" w:lineRule="auto"/>
              <w:rPr>
                <w:color w:val="000000"/>
              </w:rPr>
            </w:pPr>
            <w:r w:rsidRPr="00BA44CD">
              <w:rPr>
                <w:color w:val="000000"/>
              </w:rPr>
              <w:t>854.4</w:t>
            </w:r>
          </w:p>
        </w:tc>
        <w:tc>
          <w:tcPr>
            <w:tcW w:w="900" w:type="dxa"/>
          </w:tcPr>
          <w:p w14:paraId="58600016" w14:textId="77777777" w:rsidR="00291938" w:rsidRPr="00BA44CD" w:rsidRDefault="00291938" w:rsidP="00257852">
            <w:pPr>
              <w:spacing w:line="360" w:lineRule="auto"/>
              <w:rPr>
                <w:color w:val="000000"/>
              </w:rPr>
            </w:pPr>
            <w:r w:rsidRPr="00BA44CD">
              <w:rPr>
                <w:color w:val="000000"/>
              </w:rPr>
              <w:t>-403.2</w:t>
            </w:r>
          </w:p>
        </w:tc>
        <w:tc>
          <w:tcPr>
            <w:tcW w:w="1080" w:type="dxa"/>
          </w:tcPr>
          <w:p w14:paraId="75F0333E" w14:textId="77777777" w:rsidR="00291938" w:rsidRPr="00BA44CD" w:rsidRDefault="00291938" w:rsidP="00257852">
            <w:pPr>
              <w:spacing w:line="360" w:lineRule="auto"/>
              <w:rPr>
                <w:color w:val="000000"/>
              </w:rPr>
            </w:pPr>
            <w:r w:rsidRPr="00BA44CD">
              <w:rPr>
                <w:color w:val="000000"/>
              </w:rPr>
              <w:t>806.3</w:t>
            </w:r>
          </w:p>
        </w:tc>
        <w:tc>
          <w:tcPr>
            <w:tcW w:w="900" w:type="dxa"/>
          </w:tcPr>
          <w:p w14:paraId="1AEAB6E7" w14:textId="77777777" w:rsidR="00291938" w:rsidRPr="00BA44CD" w:rsidRDefault="00291938" w:rsidP="00257852">
            <w:pPr>
              <w:spacing w:line="360" w:lineRule="auto"/>
              <w:rPr>
                <w:color w:val="000000"/>
              </w:rPr>
            </w:pPr>
            <w:r w:rsidRPr="00BA44CD">
              <w:rPr>
                <w:color w:val="000000"/>
              </w:rPr>
              <w:t>0.6</w:t>
            </w:r>
          </w:p>
        </w:tc>
        <w:tc>
          <w:tcPr>
            <w:tcW w:w="828" w:type="dxa"/>
          </w:tcPr>
          <w:p w14:paraId="39778C9E" w14:textId="77777777" w:rsidR="00291938" w:rsidRPr="00BA44CD" w:rsidRDefault="00291938" w:rsidP="00257852">
            <w:pPr>
              <w:spacing w:line="360" w:lineRule="auto"/>
              <w:rPr>
                <w:color w:val="000000"/>
              </w:rPr>
            </w:pPr>
            <w:r w:rsidRPr="00BA44CD">
              <w:rPr>
                <w:color w:val="000000"/>
              </w:rPr>
              <w:t>2</w:t>
            </w:r>
          </w:p>
        </w:tc>
        <w:tc>
          <w:tcPr>
            <w:tcW w:w="882" w:type="dxa"/>
          </w:tcPr>
          <w:p w14:paraId="3A5A54ED" w14:textId="77777777" w:rsidR="00291938" w:rsidRPr="00BA44CD" w:rsidRDefault="00291938" w:rsidP="00257852">
            <w:pPr>
              <w:spacing w:line="360" w:lineRule="auto"/>
              <w:rPr>
                <w:color w:val="000000"/>
              </w:rPr>
            </w:pPr>
            <w:r w:rsidRPr="00BA44CD">
              <w:rPr>
                <w:color w:val="000000"/>
              </w:rPr>
              <w:t>0.8</w:t>
            </w:r>
          </w:p>
        </w:tc>
      </w:tr>
      <w:tr w:rsidR="00291938" w:rsidRPr="00BA44CD" w14:paraId="397C235E" w14:textId="77777777" w:rsidTr="00257852">
        <w:trPr>
          <w:trHeight w:val="257"/>
        </w:trPr>
        <w:tc>
          <w:tcPr>
            <w:tcW w:w="2430" w:type="dxa"/>
          </w:tcPr>
          <w:p w14:paraId="570A7FA7" w14:textId="77777777" w:rsidR="00291938" w:rsidRPr="00BA44CD" w:rsidRDefault="00291938" w:rsidP="00257852">
            <w:pPr>
              <w:spacing w:line="360" w:lineRule="auto"/>
              <w:rPr>
                <w:color w:val="000000"/>
              </w:rPr>
            </w:pPr>
            <w:r w:rsidRPr="00BA44CD">
              <w:rPr>
                <w:color w:val="000000"/>
              </w:rPr>
              <w:t>M + E + G + E*G + A + F</w:t>
            </w:r>
          </w:p>
        </w:tc>
        <w:tc>
          <w:tcPr>
            <w:tcW w:w="540" w:type="dxa"/>
          </w:tcPr>
          <w:p w14:paraId="48CFFD10" w14:textId="77777777" w:rsidR="00291938" w:rsidRPr="00BA44CD" w:rsidRDefault="00291938" w:rsidP="00257852">
            <w:pPr>
              <w:spacing w:line="360" w:lineRule="auto"/>
              <w:rPr>
                <w:color w:val="000000"/>
              </w:rPr>
            </w:pPr>
            <w:r w:rsidRPr="00BA44CD">
              <w:rPr>
                <w:color w:val="000000"/>
              </w:rPr>
              <w:t>8</w:t>
            </w:r>
          </w:p>
        </w:tc>
        <w:tc>
          <w:tcPr>
            <w:tcW w:w="900" w:type="dxa"/>
          </w:tcPr>
          <w:p w14:paraId="6E2C2F05" w14:textId="77777777" w:rsidR="00291938" w:rsidRPr="00BA44CD" w:rsidRDefault="00291938" w:rsidP="00257852">
            <w:pPr>
              <w:spacing w:line="360" w:lineRule="auto"/>
              <w:rPr>
                <w:color w:val="000000"/>
              </w:rPr>
            </w:pPr>
            <w:r w:rsidRPr="00BA44CD">
              <w:rPr>
                <w:color w:val="000000"/>
              </w:rPr>
              <w:t>820.6</w:t>
            </w:r>
          </w:p>
        </w:tc>
        <w:tc>
          <w:tcPr>
            <w:tcW w:w="720" w:type="dxa"/>
          </w:tcPr>
          <w:p w14:paraId="3014B559" w14:textId="77777777" w:rsidR="00291938" w:rsidRPr="00BA44CD" w:rsidRDefault="00291938" w:rsidP="00257852">
            <w:pPr>
              <w:spacing w:line="360" w:lineRule="auto"/>
              <w:rPr>
                <w:color w:val="000000"/>
              </w:rPr>
            </w:pPr>
            <w:r w:rsidRPr="00BA44CD">
              <w:rPr>
                <w:color w:val="000000"/>
              </w:rPr>
              <w:t>859.5</w:t>
            </w:r>
          </w:p>
        </w:tc>
        <w:tc>
          <w:tcPr>
            <w:tcW w:w="900" w:type="dxa"/>
          </w:tcPr>
          <w:p w14:paraId="257DEBC7" w14:textId="77777777" w:rsidR="00291938" w:rsidRPr="00BA44CD" w:rsidRDefault="00291938" w:rsidP="00257852">
            <w:pPr>
              <w:spacing w:line="360" w:lineRule="auto"/>
              <w:rPr>
                <w:color w:val="000000"/>
              </w:rPr>
            </w:pPr>
            <w:r w:rsidRPr="00BA44CD">
              <w:rPr>
                <w:color w:val="000000"/>
              </w:rPr>
              <w:t>-402.3</w:t>
            </w:r>
          </w:p>
        </w:tc>
        <w:tc>
          <w:tcPr>
            <w:tcW w:w="1080" w:type="dxa"/>
          </w:tcPr>
          <w:p w14:paraId="6ACAFFF7" w14:textId="77777777" w:rsidR="00291938" w:rsidRPr="00BA44CD" w:rsidRDefault="00291938" w:rsidP="00257852">
            <w:pPr>
              <w:spacing w:line="360" w:lineRule="auto"/>
              <w:rPr>
                <w:color w:val="000000"/>
              </w:rPr>
            </w:pPr>
            <w:r w:rsidRPr="00BA44CD">
              <w:rPr>
                <w:color w:val="000000"/>
              </w:rPr>
              <w:t>804.6</w:t>
            </w:r>
          </w:p>
        </w:tc>
        <w:tc>
          <w:tcPr>
            <w:tcW w:w="900" w:type="dxa"/>
          </w:tcPr>
          <w:p w14:paraId="08CA9C4C" w14:textId="77777777" w:rsidR="00291938" w:rsidRPr="00BA44CD" w:rsidRDefault="00291938" w:rsidP="00257852">
            <w:pPr>
              <w:spacing w:line="360" w:lineRule="auto"/>
              <w:rPr>
                <w:color w:val="000000"/>
              </w:rPr>
            </w:pPr>
            <w:r w:rsidRPr="00BA44CD">
              <w:rPr>
                <w:color w:val="000000"/>
              </w:rPr>
              <w:t>1.7</w:t>
            </w:r>
          </w:p>
        </w:tc>
        <w:tc>
          <w:tcPr>
            <w:tcW w:w="828" w:type="dxa"/>
          </w:tcPr>
          <w:p w14:paraId="5FDAC2EF" w14:textId="77777777" w:rsidR="00291938" w:rsidRPr="00BA44CD" w:rsidRDefault="00291938" w:rsidP="00257852">
            <w:pPr>
              <w:spacing w:line="360" w:lineRule="auto"/>
              <w:rPr>
                <w:color w:val="000000"/>
              </w:rPr>
            </w:pPr>
            <w:r w:rsidRPr="00BA44CD">
              <w:rPr>
                <w:color w:val="000000"/>
              </w:rPr>
              <w:t>1</w:t>
            </w:r>
          </w:p>
        </w:tc>
        <w:tc>
          <w:tcPr>
            <w:tcW w:w="882" w:type="dxa"/>
          </w:tcPr>
          <w:p w14:paraId="667534EC" w14:textId="77777777" w:rsidR="00291938" w:rsidRPr="00BA44CD" w:rsidRDefault="00291938" w:rsidP="00257852">
            <w:pPr>
              <w:spacing w:line="360" w:lineRule="auto"/>
              <w:rPr>
                <w:color w:val="000000"/>
              </w:rPr>
            </w:pPr>
            <w:r w:rsidRPr="00BA44CD">
              <w:rPr>
                <w:color w:val="000000"/>
              </w:rPr>
              <w:t>0.2</w:t>
            </w:r>
          </w:p>
        </w:tc>
      </w:tr>
    </w:tbl>
    <w:p w14:paraId="6A659A9F" w14:textId="6D3ABEB9" w:rsidR="00291938" w:rsidRPr="00BA44CD" w:rsidRDefault="00291938" w:rsidP="00257852">
      <w:pPr>
        <w:spacing w:line="360" w:lineRule="auto"/>
        <w:rPr>
          <w:sz w:val="18"/>
          <w:szCs w:val="18"/>
        </w:rPr>
      </w:pPr>
      <w:r w:rsidRPr="00BA44CD">
        <w:rPr>
          <w:color w:val="000000"/>
          <w:sz w:val="18"/>
          <w:szCs w:val="18"/>
        </w:rPr>
        <w:t xml:space="preserve">Note: </w:t>
      </w:r>
      <w:r w:rsidR="00FF7537">
        <w:rPr>
          <w:color w:val="000000"/>
          <w:sz w:val="18"/>
          <w:szCs w:val="18"/>
        </w:rPr>
        <w:t xml:space="preserve">M = Major, </w:t>
      </w:r>
      <w:r w:rsidRPr="00BA44CD">
        <w:rPr>
          <w:color w:val="000000"/>
          <w:sz w:val="18"/>
          <w:szCs w:val="18"/>
        </w:rPr>
        <w:t xml:space="preserve">E = Ethnicity, G = Gender, A = Age, DF = degrees of freedom; AIC = Akaike’s Information Criterion; BIC = Bayesian Information Criterion; LL = Log Likelihood; </w:t>
      </w:r>
      <w:proofErr w:type="spellStart"/>
      <w:r w:rsidRPr="00BA44CD">
        <w:rPr>
          <w:color w:val="000000"/>
          <w:sz w:val="18"/>
          <w:szCs w:val="18"/>
        </w:rPr>
        <w:t>Chisq</w:t>
      </w:r>
      <w:proofErr w:type="spellEnd"/>
      <w:r w:rsidRPr="00BA44CD">
        <w:rPr>
          <w:color w:val="000000"/>
          <w:sz w:val="18"/>
          <w:szCs w:val="18"/>
        </w:rPr>
        <w:t xml:space="preserve"> = Chi square; Chi DF = Chi square degrees of freedom; **indicates</w:t>
      </w:r>
      <w:r>
        <w:rPr>
          <w:color w:val="000000"/>
          <w:sz w:val="18"/>
          <w:szCs w:val="18"/>
        </w:rPr>
        <w:t xml:space="preserve"> significance at </w:t>
      </w:r>
      <w:proofErr w:type="gramStart"/>
      <w:r>
        <w:rPr>
          <w:color w:val="000000"/>
          <w:sz w:val="18"/>
          <w:szCs w:val="18"/>
        </w:rPr>
        <w:t xml:space="preserve">the </w:t>
      </w:r>
      <w:r w:rsidRPr="00BA44CD">
        <w:rPr>
          <w:color w:val="000000"/>
          <w:sz w:val="18"/>
          <w:szCs w:val="18"/>
        </w:rPr>
        <w:t xml:space="preserve"> </w:t>
      </w:r>
      <w:r w:rsidRPr="00BA44CD">
        <w:rPr>
          <w:i/>
          <w:iCs/>
          <w:color w:val="000000"/>
          <w:sz w:val="18"/>
          <w:szCs w:val="18"/>
        </w:rPr>
        <w:t>p</w:t>
      </w:r>
      <w:proofErr w:type="gramEnd"/>
      <w:r w:rsidRPr="00BA44CD">
        <w:rPr>
          <w:color w:val="000000"/>
          <w:sz w:val="18"/>
          <w:szCs w:val="18"/>
        </w:rPr>
        <w:t xml:space="preserve"> </w:t>
      </w:r>
      <w:r>
        <w:rPr>
          <w:color w:val="000000"/>
          <w:sz w:val="18"/>
          <w:szCs w:val="18"/>
        </w:rPr>
        <w:t>=</w:t>
      </w:r>
      <w:r w:rsidRPr="00BA44CD">
        <w:rPr>
          <w:color w:val="000000"/>
          <w:sz w:val="18"/>
          <w:szCs w:val="18"/>
        </w:rPr>
        <w:t xml:space="preserve"> .01</w:t>
      </w:r>
      <w:r>
        <w:rPr>
          <w:color w:val="000000"/>
          <w:sz w:val="18"/>
          <w:szCs w:val="18"/>
        </w:rPr>
        <w:t xml:space="preserve"> level.</w:t>
      </w:r>
    </w:p>
    <w:p w14:paraId="4421A6EC" w14:textId="5A0D80ED" w:rsidR="00BB3098" w:rsidRDefault="00BB3098" w:rsidP="00257852">
      <w:pPr>
        <w:spacing w:line="360" w:lineRule="auto"/>
      </w:pPr>
    </w:p>
    <w:p w14:paraId="5317F217" w14:textId="77777777" w:rsidR="00BB3098" w:rsidRPr="00BA44CD" w:rsidRDefault="00BB3098" w:rsidP="00257852">
      <w:pPr>
        <w:spacing w:line="360" w:lineRule="auto"/>
      </w:pPr>
    </w:p>
    <w:p w14:paraId="604E328F" w14:textId="77777777" w:rsidR="00291938" w:rsidRPr="00BA44CD" w:rsidRDefault="00291938" w:rsidP="00257852">
      <w:pPr>
        <w:spacing w:line="360" w:lineRule="auto"/>
        <w:jc w:val="center"/>
      </w:pPr>
      <w:r w:rsidRPr="00BA44CD">
        <w:lastRenderedPageBreak/>
        <w:t>Table 3: Measures of effect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05"/>
        <w:gridCol w:w="900"/>
        <w:gridCol w:w="2345"/>
        <w:gridCol w:w="1980"/>
      </w:tblGrid>
      <w:tr w:rsidR="00291938" w:rsidRPr="00BA44CD" w14:paraId="19F324E6" w14:textId="77777777" w:rsidTr="00384F3E">
        <w:tc>
          <w:tcPr>
            <w:tcW w:w="1795" w:type="dxa"/>
            <w:tcBorders>
              <w:top w:val="single" w:sz="4" w:space="0" w:color="auto"/>
              <w:bottom w:val="single" w:sz="4" w:space="0" w:color="auto"/>
            </w:tcBorders>
          </w:tcPr>
          <w:p w14:paraId="32F67516" w14:textId="77777777" w:rsidR="00291938" w:rsidRPr="00BA44CD" w:rsidRDefault="00291938" w:rsidP="00257852">
            <w:pPr>
              <w:spacing w:line="360" w:lineRule="auto"/>
            </w:pPr>
          </w:p>
        </w:tc>
        <w:tc>
          <w:tcPr>
            <w:tcW w:w="900" w:type="dxa"/>
            <w:tcBorders>
              <w:top w:val="single" w:sz="4" w:space="0" w:color="auto"/>
              <w:bottom w:val="single" w:sz="4" w:space="0" w:color="auto"/>
            </w:tcBorders>
          </w:tcPr>
          <w:p w14:paraId="33F69E5E" w14:textId="77777777" w:rsidR="00291938" w:rsidRPr="00BA44CD" w:rsidRDefault="00291938" w:rsidP="00257852">
            <w:pPr>
              <w:spacing w:line="360" w:lineRule="auto"/>
            </w:pPr>
            <w:r w:rsidRPr="00BA44CD">
              <w:t>Exp(B)*</w:t>
            </w:r>
          </w:p>
        </w:tc>
        <w:tc>
          <w:tcPr>
            <w:tcW w:w="900" w:type="dxa"/>
            <w:tcBorders>
              <w:top w:val="single" w:sz="4" w:space="0" w:color="auto"/>
              <w:bottom w:val="single" w:sz="4" w:space="0" w:color="auto"/>
            </w:tcBorders>
          </w:tcPr>
          <w:p w14:paraId="172639AB" w14:textId="77777777" w:rsidR="00291938" w:rsidRPr="00BA44CD" w:rsidRDefault="00291938" w:rsidP="00257852">
            <w:pPr>
              <w:spacing w:line="360" w:lineRule="auto"/>
            </w:pPr>
            <w:r w:rsidRPr="00BA44CD">
              <w:t>95% CI</w:t>
            </w:r>
          </w:p>
        </w:tc>
        <w:tc>
          <w:tcPr>
            <w:tcW w:w="2345" w:type="dxa"/>
            <w:tcBorders>
              <w:top w:val="single" w:sz="4" w:space="0" w:color="auto"/>
              <w:bottom w:val="single" w:sz="4" w:space="0" w:color="auto"/>
            </w:tcBorders>
          </w:tcPr>
          <w:p w14:paraId="307F0D78" w14:textId="77777777" w:rsidR="00291938" w:rsidRPr="00BA44CD" w:rsidRDefault="00291938" w:rsidP="00257852">
            <w:pPr>
              <w:spacing w:line="360" w:lineRule="auto"/>
            </w:pPr>
            <w:r w:rsidRPr="00BA44CD">
              <w:t xml:space="preserve"> Conditional Pseudo R</w:t>
            </w:r>
            <w:r w:rsidRPr="00BA44CD">
              <w:rPr>
                <w:vertAlign w:val="superscript"/>
              </w:rPr>
              <w:t>2</w:t>
            </w:r>
          </w:p>
        </w:tc>
        <w:tc>
          <w:tcPr>
            <w:tcW w:w="1980" w:type="dxa"/>
            <w:tcBorders>
              <w:top w:val="single" w:sz="4" w:space="0" w:color="auto"/>
              <w:bottom w:val="single" w:sz="4" w:space="0" w:color="auto"/>
            </w:tcBorders>
          </w:tcPr>
          <w:p w14:paraId="15347EDA" w14:textId="77777777" w:rsidR="00291938" w:rsidRPr="00BA44CD" w:rsidRDefault="00291938" w:rsidP="00257852">
            <w:pPr>
              <w:spacing w:line="360" w:lineRule="auto"/>
            </w:pPr>
            <w:r w:rsidRPr="00BA44CD">
              <w:t>Marginal Pseudo R</w:t>
            </w:r>
            <w:r w:rsidRPr="00BA44CD">
              <w:rPr>
                <w:vertAlign w:val="superscript"/>
              </w:rPr>
              <w:t>2</w:t>
            </w:r>
          </w:p>
        </w:tc>
      </w:tr>
      <w:tr w:rsidR="00291938" w:rsidRPr="00BA44CD" w14:paraId="50F79D81" w14:textId="77777777" w:rsidTr="00384F3E">
        <w:tc>
          <w:tcPr>
            <w:tcW w:w="1795" w:type="dxa"/>
            <w:tcBorders>
              <w:top w:val="single" w:sz="4" w:space="0" w:color="auto"/>
            </w:tcBorders>
          </w:tcPr>
          <w:p w14:paraId="1FDB4BC5" w14:textId="77777777" w:rsidR="00291938" w:rsidRPr="00BA44CD" w:rsidRDefault="00291938" w:rsidP="00257852">
            <w:pPr>
              <w:spacing w:line="360" w:lineRule="auto"/>
            </w:pPr>
            <w:r w:rsidRPr="00BA44CD">
              <w:t>Intercept</w:t>
            </w:r>
          </w:p>
        </w:tc>
        <w:tc>
          <w:tcPr>
            <w:tcW w:w="900" w:type="dxa"/>
            <w:tcBorders>
              <w:top w:val="single" w:sz="4" w:space="0" w:color="auto"/>
            </w:tcBorders>
          </w:tcPr>
          <w:p w14:paraId="3AF69198" w14:textId="77777777" w:rsidR="00291938" w:rsidRPr="00BA44CD" w:rsidRDefault="00291938" w:rsidP="00257852">
            <w:pPr>
              <w:spacing w:line="360" w:lineRule="auto"/>
            </w:pPr>
            <w:r w:rsidRPr="00BA44CD">
              <w:t>0.2</w:t>
            </w:r>
          </w:p>
        </w:tc>
        <w:tc>
          <w:tcPr>
            <w:tcW w:w="900" w:type="dxa"/>
            <w:tcBorders>
              <w:top w:val="single" w:sz="4" w:space="0" w:color="auto"/>
            </w:tcBorders>
          </w:tcPr>
          <w:p w14:paraId="203C4392" w14:textId="77777777" w:rsidR="00291938" w:rsidRPr="00BA44CD" w:rsidRDefault="00291938" w:rsidP="00257852">
            <w:pPr>
              <w:spacing w:line="360" w:lineRule="auto"/>
            </w:pPr>
            <w:r w:rsidRPr="00BA44CD">
              <w:t>0.1-0.3</w:t>
            </w:r>
          </w:p>
        </w:tc>
        <w:tc>
          <w:tcPr>
            <w:tcW w:w="2345" w:type="dxa"/>
            <w:tcBorders>
              <w:top w:val="single" w:sz="4" w:space="0" w:color="auto"/>
            </w:tcBorders>
          </w:tcPr>
          <w:p w14:paraId="42F8F93A" w14:textId="77777777" w:rsidR="00291938" w:rsidRPr="00BA44CD" w:rsidRDefault="00291938" w:rsidP="00257852">
            <w:pPr>
              <w:spacing w:line="360" w:lineRule="auto"/>
            </w:pPr>
            <w:r w:rsidRPr="00BA44CD">
              <w:t>.067</w:t>
            </w:r>
          </w:p>
        </w:tc>
        <w:tc>
          <w:tcPr>
            <w:tcW w:w="1980" w:type="dxa"/>
            <w:tcBorders>
              <w:top w:val="single" w:sz="4" w:space="0" w:color="auto"/>
            </w:tcBorders>
          </w:tcPr>
          <w:p w14:paraId="647E00F5" w14:textId="77777777" w:rsidR="00291938" w:rsidRPr="00BA44CD" w:rsidRDefault="00291938" w:rsidP="00257852">
            <w:pPr>
              <w:spacing w:line="360" w:lineRule="auto"/>
            </w:pPr>
            <w:r w:rsidRPr="00BA44CD">
              <w:t>.015</w:t>
            </w:r>
          </w:p>
        </w:tc>
      </w:tr>
      <w:tr w:rsidR="00291938" w:rsidRPr="00BA44CD" w14:paraId="5A9A8784" w14:textId="77777777" w:rsidTr="00384F3E">
        <w:tc>
          <w:tcPr>
            <w:tcW w:w="1795" w:type="dxa"/>
          </w:tcPr>
          <w:p w14:paraId="46624A49" w14:textId="77777777" w:rsidR="00291938" w:rsidRPr="00BA44CD" w:rsidRDefault="00291938" w:rsidP="00257852">
            <w:pPr>
              <w:spacing w:line="360" w:lineRule="auto"/>
            </w:pPr>
            <w:r w:rsidRPr="00BA44CD">
              <w:t>Other Ethnicity</w:t>
            </w:r>
          </w:p>
        </w:tc>
        <w:tc>
          <w:tcPr>
            <w:tcW w:w="900" w:type="dxa"/>
          </w:tcPr>
          <w:p w14:paraId="43C8A5FD" w14:textId="77777777" w:rsidR="00291938" w:rsidRPr="00BA44CD" w:rsidRDefault="00291938" w:rsidP="00257852">
            <w:pPr>
              <w:spacing w:line="360" w:lineRule="auto"/>
            </w:pPr>
            <w:r w:rsidRPr="00BA44CD">
              <w:t>0.6</w:t>
            </w:r>
          </w:p>
        </w:tc>
        <w:tc>
          <w:tcPr>
            <w:tcW w:w="900" w:type="dxa"/>
          </w:tcPr>
          <w:p w14:paraId="0394C217" w14:textId="77777777" w:rsidR="00291938" w:rsidRPr="00BA44CD" w:rsidRDefault="00291938" w:rsidP="00257852">
            <w:pPr>
              <w:spacing w:line="360" w:lineRule="auto"/>
            </w:pPr>
            <w:r w:rsidRPr="00BA44CD">
              <w:t>1.2-2.5</w:t>
            </w:r>
          </w:p>
        </w:tc>
        <w:tc>
          <w:tcPr>
            <w:tcW w:w="2345" w:type="dxa"/>
          </w:tcPr>
          <w:p w14:paraId="7CE6A466" w14:textId="77777777" w:rsidR="00291938" w:rsidRPr="00BA44CD" w:rsidRDefault="00291938" w:rsidP="00257852">
            <w:pPr>
              <w:spacing w:line="360" w:lineRule="auto"/>
            </w:pPr>
          </w:p>
        </w:tc>
        <w:tc>
          <w:tcPr>
            <w:tcW w:w="1980" w:type="dxa"/>
          </w:tcPr>
          <w:p w14:paraId="373DD82A" w14:textId="77777777" w:rsidR="00291938" w:rsidRPr="00BA44CD" w:rsidRDefault="00291938" w:rsidP="00257852">
            <w:pPr>
              <w:spacing w:line="360" w:lineRule="auto"/>
            </w:pPr>
          </w:p>
        </w:tc>
      </w:tr>
    </w:tbl>
    <w:p w14:paraId="754DBEFF" w14:textId="77777777" w:rsidR="00291938" w:rsidRPr="00BA44CD" w:rsidRDefault="00291938" w:rsidP="00257852">
      <w:pPr>
        <w:spacing w:line="360" w:lineRule="auto"/>
        <w:rPr>
          <w:sz w:val="18"/>
          <w:szCs w:val="18"/>
        </w:rPr>
      </w:pPr>
      <w:r w:rsidRPr="00BA44CD">
        <w:rPr>
          <w:sz w:val="18"/>
          <w:szCs w:val="18"/>
        </w:rPr>
        <w:t>*Shows comparison to Caucasian students; ICC = intraclass correlation coefficient</w:t>
      </w:r>
    </w:p>
    <w:p w14:paraId="4FEA78BC" w14:textId="01B3B167" w:rsidR="00182E82" w:rsidRPr="0014546C" w:rsidRDefault="00182E82" w:rsidP="00257852">
      <w:pPr>
        <w:spacing w:line="360" w:lineRule="auto"/>
        <w:rPr>
          <w:b/>
          <w:sz w:val="24"/>
          <w:szCs w:val="24"/>
        </w:rPr>
      </w:pPr>
    </w:p>
    <w:p w14:paraId="7126AF38" w14:textId="77777777" w:rsidR="00182E82" w:rsidRDefault="00182E82" w:rsidP="00257852">
      <w:pPr>
        <w:spacing w:line="360" w:lineRule="auto"/>
      </w:pPr>
    </w:p>
    <w:p w14:paraId="5785B315" w14:textId="77777777" w:rsidR="00BB2E9C" w:rsidRPr="00BB3098" w:rsidRDefault="00BB2E9C" w:rsidP="00D94492">
      <w:pPr>
        <w:spacing w:line="360" w:lineRule="auto"/>
        <w:rPr>
          <w:b/>
          <w:bCs/>
        </w:rPr>
      </w:pPr>
      <w:r w:rsidRPr="00BB3098">
        <w:rPr>
          <w:b/>
          <w:bCs/>
        </w:rPr>
        <w:t>Fixed effects</w:t>
      </w:r>
    </w:p>
    <w:p w14:paraId="58AA6618" w14:textId="77777777" w:rsidR="00BB2E9C" w:rsidRDefault="00BB2E9C" w:rsidP="00D94492">
      <w:pPr>
        <w:spacing w:line="360" w:lineRule="auto"/>
      </w:pPr>
    </w:p>
    <w:p w14:paraId="2654A53E" w14:textId="0D2C1D4C" w:rsidR="00384F3E" w:rsidRDefault="00384F3E" w:rsidP="00D94492">
      <w:pPr>
        <w:spacing w:line="360" w:lineRule="auto"/>
      </w:pPr>
      <w:r>
        <w:t xml:space="preserve">In this study, race/ethnicity predicted success in a statistics course geared toward allied health students, with Caucasian students being more likely to succeed than students of other ethnicities.  Race/ethnicity has been a predictor of success in other studies, though with different outcomes.  For example, one study found that Asian students performed significantly better than all other ethnicities in an introductory statistics course (van Es &amp; Weaver, 2018).  Kohli and colleagues (2011) also found that race/ethnicity was one of several variables that predicted success in a sample of students in a business statistics course.  However, unlike the present study, students of other ethnicities performed better than Caucasian students.  Hence the relationship of race/ethnicity to statistics achievement appears to be a complex </w:t>
      </w:r>
      <w:proofErr w:type="gramStart"/>
      <w:r>
        <w:t>one, and</w:t>
      </w:r>
      <w:proofErr w:type="gramEnd"/>
      <w:r>
        <w:t xml:space="preserve"> may be dependent upon other factors that are not currently understood.  </w:t>
      </w:r>
      <w:r w:rsidRPr="00BA44CD">
        <w:t xml:space="preserve">It is worthy to note however, that </w:t>
      </w:r>
      <w:r>
        <w:t xml:space="preserve">in this study, </w:t>
      </w:r>
      <w:r w:rsidRPr="00BA44CD">
        <w:t xml:space="preserve">non-Caucasians were pooled because of their relatively small numbers.  In this situation, statistical interpretation should be approached with practical consideration. For example, the </w:t>
      </w:r>
      <w:r>
        <w:t>Table 1</w:t>
      </w:r>
      <w:r w:rsidRPr="00BA44CD">
        <w:t xml:space="preserve"> show</w:t>
      </w:r>
      <w:r>
        <w:t>s</w:t>
      </w:r>
      <w:r w:rsidRPr="00BA44CD">
        <w:t xml:space="preserve"> that there is a near 1:1 ratio of successful to unsuccessful outcomes for Pacific Islander and Native American students, </w:t>
      </w:r>
      <w:r>
        <w:t>whereas Hispanic students</w:t>
      </w:r>
      <w:r w:rsidR="00352395">
        <w:t xml:space="preserve"> had a</w:t>
      </w:r>
      <w:r>
        <w:t xml:space="preserve"> 5:1 ratio</w:t>
      </w:r>
      <w:r w:rsidRPr="00BA44CD">
        <w:t>.</w:t>
      </w:r>
      <w:r>
        <w:t xml:space="preserve">  Th</w:t>
      </w:r>
      <w:r w:rsidR="00531298">
        <w:t xml:space="preserve">is </w:t>
      </w:r>
      <w:r>
        <w:t>limitation</w:t>
      </w:r>
      <w:r w:rsidR="00531298">
        <w:t xml:space="preserve"> is discussed</w:t>
      </w:r>
      <w:r>
        <w:t xml:space="preserve"> in the penultimate section of this paper.</w:t>
      </w:r>
      <w:r w:rsidRPr="00BA44CD">
        <w:t xml:space="preserve">  A positive outcome of this study was that neither age, gender, their interaction, nor format of the class predicted success in a statistics class geared toward students in the applied health sciences.   This contradicts previous reports that find one or more of these variables are predictors of success in statistics, and similar courses</w:t>
      </w:r>
      <w:r w:rsidR="00BB3098">
        <w:t>, and</w:t>
      </w:r>
      <w:r w:rsidRPr="00BA44CD">
        <w:t xml:space="preserve"> is an overall positive finding.  </w:t>
      </w:r>
    </w:p>
    <w:p w14:paraId="694F4514" w14:textId="77777777" w:rsidR="00BB3098" w:rsidRDefault="00BB3098" w:rsidP="00D94492">
      <w:pPr>
        <w:spacing w:line="360" w:lineRule="auto"/>
      </w:pPr>
    </w:p>
    <w:p w14:paraId="2EBC50CE" w14:textId="63840519" w:rsidR="004C2032" w:rsidRPr="00D94492" w:rsidRDefault="004C2032" w:rsidP="00D94492">
      <w:pPr>
        <w:spacing w:line="360" w:lineRule="auto"/>
        <w:rPr>
          <w:i/>
          <w:iCs/>
        </w:rPr>
      </w:pPr>
      <w:r w:rsidRPr="00D94492">
        <w:rPr>
          <w:i/>
          <w:iCs/>
        </w:rPr>
        <w:t>Teaching Strategies</w:t>
      </w:r>
    </w:p>
    <w:p w14:paraId="3F566F6B" w14:textId="77777777" w:rsidR="004C2032" w:rsidRDefault="004C2032" w:rsidP="00D94492">
      <w:pPr>
        <w:spacing w:line="360" w:lineRule="auto"/>
      </w:pPr>
    </w:p>
    <w:p w14:paraId="46093E81" w14:textId="410D1C9F" w:rsidR="004C73E6" w:rsidRDefault="00384F3E" w:rsidP="00D94492">
      <w:pPr>
        <w:spacing w:line="360" w:lineRule="auto"/>
      </w:pPr>
      <w:commentRangeStart w:id="11"/>
      <w:r w:rsidRPr="00BA44CD">
        <w:t xml:space="preserve">Statistics instructors may use several strategies </w:t>
      </w:r>
      <w:proofErr w:type="gramStart"/>
      <w:r w:rsidRPr="00BA44CD">
        <w:t>in order to</w:t>
      </w:r>
      <w:proofErr w:type="gramEnd"/>
      <w:r w:rsidRPr="00BA44CD">
        <w:t xml:space="preserve"> maximize student success in statistics. For example, Miller (2019) recommends an instructional method using Robert Steinberg’s theory of triarchic intelligence.  This method emphasizes the use of analytic abilities to solve abstract problems; creative abilities to apply knowledge to idiosyncratic situations; and practical abilities to apply statistical content to everyday situations.  </w:t>
      </w:r>
      <w:proofErr w:type="spellStart"/>
      <w:r w:rsidRPr="00BA44CD">
        <w:t>Gorvine</w:t>
      </w:r>
      <w:proofErr w:type="spellEnd"/>
      <w:r w:rsidRPr="00BA44CD">
        <w:t xml:space="preserve"> and Smith (2015) found that students who worked collaboratively have improved learning </w:t>
      </w:r>
      <w:proofErr w:type="gramStart"/>
      <w:r w:rsidRPr="00BA44CD">
        <w:t>outcomes, and</w:t>
      </w:r>
      <w:proofErr w:type="gramEnd"/>
      <w:r w:rsidRPr="00BA44CD">
        <w:t xml:space="preserve"> reported lower anxiety in learning in a psychological statistics course.  </w:t>
      </w:r>
      <w:r w:rsidR="00101386">
        <w:t>Others have used collaborative teaching methods in tandem with technology.</w:t>
      </w:r>
      <w:r w:rsidR="000B4C9B">
        <w:t xml:space="preserve"> </w:t>
      </w:r>
      <w:r w:rsidR="009B6455">
        <w:t>For example, positive feedback has been reported</w:t>
      </w:r>
      <w:r w:rsidR="009B6455" w:rsidDel="009B6455">
        <w:t xml:space="preserve"> </w:t>
      </w:r>
      <w:r w:rsidR="009B6455">
        <w:t>for</w:t>
      </w:r>
      <w:r w:rsidR="00C10CE4">
        <w:t xml:space="preserve"> use of projects in a simulated environment</w:t>
      </w:r>
      <w:r w:rsidR="00531298">
        <w:t xml:space="preserve"> by Australian students</w:t>
      </w:r>
      <w:r w:rsidR="00350A9E">
        <w:t>,</w:t>
      </w:r>
      <w:r w:rsidR="00C10CE4">
        <w:t xml:space="preserve"> where </w:t>
      </w:r>
      <w:r w:rsidR="00531298">
        <w:t xml:space="preserve">the </w:t>
      </w:r>
      <w:r w:rsidR="00C10CE4">
        <w:t>students conduct studies on a virtual population</w:t>
      </w:r>
      <w:r w:rsidR="009B6455">
        <w:t xml:space="preserve"> (Bulmer, 2010)</w:t>
      </w:r>
      <w:r w:rsidR="00C10CE4">
        <w:t>.</w:t>
      </w:r>
      <w:r w:rsidR="009B6455">
        <w:t xml:space="preserve"> Th</w:t>
      </w:r>
      <w:r w:rsidR="00531298">
        <w:t>is</w:t>
      </w:r>
      <w:r w:rsidR="009B6455">
        <w:t xml:space="preserve"> simulated environment has also been used </w:t>
      </w:r>
      <w:r w:rsidR="00C10CE4">
        <w:t xml:space="preserve">has used </w:t>
      </w:r>
      <w:r w:rsidR="009B6455">
        <w:t>for</w:t>
      </w:r>
      <w:r w:rsidR="00C10CE4">
        <w:t xml:space="preserve"> </w:t>
      </w:r>
      <w:r w:rsidR="00531298">
        <w:t xml:space="preserve">American </w:t>
      </w:r>
      <w:r w:rsidR="00C10CE4">
        <w:t xml:space="preserve">students </w:t>
      </w:r>
      <w:r w:rsidR="009B6455">
        <w:t xml:space="preserve">who </w:t>
      </w:r>
      <w:r w:rsidR="00C10CE4">
        <w:t>are required to serve as statistical consultants on projects</w:t>
      </w:r>
      <w:r w:rsidR="009B6455">
        <w:t xml:space="preserve"> as part of their statistics course </w:t>
      </w:r>
      <w:r w:rsidR="009B6455">
        <w:lastRenderedPageBreak/>
        <w:t>requirements</w:t>
      </w:r>
      <w:r w:rsidR="009B6455" w:rsidRPr="009B6455">
        <w:t xml:space="preserve"> </w:t>
      </w:r>
      <w:r w:rsidR="009B6455">
        <w:t>(Schwab-McCoy, 2017)</w:t>
      </w:r>
      <w:r w:rsidR="00C10CE4">
        <w:t>. Briefly, students propose</w:t>
      </w:r>
      <w:r w:rsidR="00350A9E">
        <w:t>d</w:t>
      </w:r>
      <w:r w:rsidR="00C10CE4">
        <w:t xml:space="preserve"> a project and “collect</w:t>
      </w:r>
      <w:r w:rsidR="00531298">
        <w:t>ed</w:t>
      </w:r>
      <w:r w:rsidR="00C10CE4">
        <w:t xml:space="preserve">” data from </w:t>
      </w:r>
      <w:r w:rsidR="009B6455">
        <w:t>the</w:t>
      </w:r>
      <w:r w:rsidR="00C10CE4">
        <w:t xml:space="preserve"> virtual population. They then exchange</w:t>
      </w:r>
      <w:r w:rsidR="00350A9E">
        <w:t>d</w:t>
      </w:r>
      <w:r w:rsidR="00C10CE4">
        <w:t xml:space="preserve"> datasets and serve</w:t>
      </w:r>
      <w:r w:rsidR="00350A9E">
        <w:t>d</w:t>
      </w:r>
      <w:r w:rsidR="00C10CE4">
        <w:t xml:space="preserve"> as statistical consultants for the data they receive</w:t>
      </w:r>
      <w:r w:rsidR="00DF0931">
        <w:t>d</w:t>
      </w:r>
      <w:r w:rsidR="00C10CE4">
        <w:t xml:space="preserve">, and as clients </w:t>
      </w:r>
      <w:r w:rsidR="00352395">
        <w:t>for those whom</w:t>
      </w:r>
      <w:r w:rsidR="00C10CE4">
        <w:t xml:space="preserve"> they len</w:t>
      </w:r>
      <w:r w:rsidR="00DF0931">
        <w:t>t</w:t>
      </w:r>
      <w:r w:rsidR="00C10CE4">
        <w:t xml:space="preserve"> their data to be analyzed. The instructor reported anecdotal benefits such as increased group accountability, heightened curiosity, motivation to learn and practice statistics, heightened communication between student groups, and exposure to different approaches to analysis.  </w:t>
      </w:r>
      <w:r w:rsidR="00C5525E">
        <w:t>Reported drawbacks included</w:t>
      </w:r>
      <w:r w:rsidR="00C10CE4">
        <w:t xml:space="preserve"> increased time commitment for the instructor for efficient project planning, and observation of students; increased time commitment for students in their roles as consultants and clients, and student pushback for inadequately explained objectives.</w:t>
      </w:r>
      <w:commentRangeEnd w:id="11"/>
      <w:r w:rsidR="00A40974">
        <w:rPr>
          <w:rStyle w:val="CommentReference"/>
        </w:rPr>
        <w:commentReference w:id="11"/>
      </w:r>
      <w:r w:rsidR="004C2032">
        <w:t xml:space="preserve"> </w:t>
      </w:r>
      <w:r w:rsidRPr="00BA44CD">
        <w:t xml:space="preserve">For online </w:t>
      </w:r>
      <w:r w:rsidR="00C5525E">
        <w:t>teaching in statistics</w:t>
      </w:r>
      <w:r w:rsidRPr="00BA44CD">
        <w:t xml:space="preserve">, </w:t>
      </w:r>
      <w:r w:rsidR="00DF0931">
        <w:t>it is</w:t>
      </w:r>
      <w:r w:rsidRPr="00BA44CD">
        <w:t xml:space="preserve"> reported that a statistics course design with a consistent structure, focused content, and varied learning activities and resources to be effective, alongside strategies such as the use of case studies, instructor notes, mini-projects, and an online discussion forum</w:t>
      </w:r>
      <w:r w:rsidR="00DF0931">
        <w:t xml:space="preserve"> (Yang, 2017)</w:t>
      </w:r>
      <w:r w:rsidRPr="00BA44CD">
        <w:t xml:space="preserve">.  </w:t>
      </w:r>
      <w:r w:rsidR="009F3017">
        <w:t xml:space="preserve"> </w:t>
      </w:r>
      <w:r w:rsidRPr="00BA44CD">
        <w:t xml:space="preserve">Methods such as supplemental instruction (SI) have been shown to be effective in improving learning outcomes in STEM courses (Hurley, Jacobs &amp; Gilbert, 2006), with benefits that include increased socialization of students of varying backgrounds. However, disadvantages of SI include its logistic and financial costs (Dawson, van de Meer, </w:t>
      </w:r>
      <w:proofErr w:type="spellStart"/>
      <w:r w:rsidRPr="00BA44CD">
        <w:t>Skalicky</w:t>
      </w:r>
      <w:proofErr w:type="spellEnd"/>
      <w:r w:rsidRPr="00BA44CD">
        <w:t xml:space="preserve"> and Cowley, 2014) and may therefore be unattractive from that standpoint.  However, creative instructors may apply the socializing and collaborative aspects of SI in the classroom (</w:t>
      </w:r>
      <w:proofErr w:type="spellStart"/>
      <w:r w:rsidRPr="00BA44CD">
        <w:t>Gorvine</w:t>
      </w:r>
      <w:proofErr w:type="spellEnd"/>
      <w:r w:rsidRPr="00BA44CD">
        <w:t xml:space="preserve"> and Smith, 2015).  Hence, instructors may help to improve the odds of success for students by diversifying content, creating various cognitive opportunities for students to solve problems, and encouraging a collaborative classroom environment. </w:t>
      </w:r>
    </w:p>
    <w:p w14:paraId="4C94E781" w14:textId="77777777" w:rsidR="004C73E6" w:rsidRDefault="004C73E6" w:rsidP="00D94492">
      <w:pPr>
        <w:spacing w:line="360" w:lineRule="auto"/>
      </w:pPr>
    </w:p>
    <w:p w14:paraId="0FFC92E6" w14:textId="38F7C316" w:rsidR="004C2032" w:rsidRPr="00D94492" w:rsidRDefault="004C2032" w:rsidP="00D94492">
      <w:pPr>
        <w:spacing w:line="360" w:lineRule="auto"/>
        <w:rPr>
          <w:i/>
          <w:iCs/>
        </w:rPr>
      </w:pPr>
      <w:r w:rsidRPr="00D94492">
        <w:rPr>
          <w:i/>
          <w:iCs/>
        </w:rPr>
        <w:t>Introductory statistics courses are not monolithic</w:t>
      </w:r>
    </w:p>
    <w:p w14:paraId="1403F770" w14:textId="77777777" w:rsidR="004C2032" w:rsidRDefault="004C2032" w:rsidP="00D94492">
      <w:pPr>
        <w:spacing w:line="360" w:lineRule="auto"/>
      </w:pPr>
    </w:p>
    <w:p w14:paraId="6A549E85" w14:textId="7012C68A" w:rsidR="00384F3E" w:rsidRPr="00BA44CD" w:rsidRDefault="004C73E6" w:rsidP="00D94492">
      <w:pPr>
        <w:spacing w:line="360" w:lineRule="auto"/>
      </w:pPr>
      <w:r>
        <w:t>Th</w:t>
      </w:r>
      <w:r w:rsidR="00A93A74">
        <w:t>e above section</w:t>
      </w:r>
      <w:r>
        <w:t xml:space="preserve"> is not </w:t>
      </w:r>
      <w:r w:rsidR="00A93A74">
        <w:t xml:space="preserve">meant </w:t>
      </w:r>
      <w:r>
        <w:t xml:space="preserve">to </w:t>
      </w:r>
      <w:r w:rsidR="00A93A74">
        <w:t>communicate to the reader</w:t>
      </w:r>
      <w:r>
        <w:t xml:space="preserve"> that all methods will work for all classes</w:t>
      </w:r>
      <w:r w:rsidR="00A93A74">
        <w:t>,</w:t>
      </w:r>
      <w:r>
        <w:t xml:space="preserve"> or all instructors</w:t>
      </w:r>
      <w:r w:rsidR="00A93A74">
        <w:t>,</w:t>
      </w:r>
      <w:r>
        <w:t xml:space="preserve"> </w:t>
      </w:r>
      <w:proofErr w:type="gramStart"/>
      <w:r>
        <w:t>at all times</w:t>
      </w:r>
      <w:proofErr w:type="gramEnd"/>
      <w:r>
        <w:t xml:space="preserve">. </w:t>
      </w:r>
      <w:r w:rsidR="008A47A1">
        <w:t>I</w:t>
      </w:r>
      <w:r w:rsidR="00DF0931">
        <w:t xml:space="preserve">t is noted by the American Statistical Association (ASA, 2016) that introductory statistics content is not </w:t>
      </w:r>
      <w:r w:rsidR="00A93A74">
        <w:t>taught the same across classes; f</w:t>
      </w:r>
      <w:r>
        <w:t>or example,</w:t>
      </w:r>
      <w:r w:rsidR="00DF0931">
        <w:t xml:space="preserve"> </w:t>
      </w:r>
      <w:r w:rsidR="00DF0931">
        <w:lastRenderedPageBreak/>
        <w:t xml:space="preserve">some classes focus on literacy while others focus on methodology. </w:t>
      </w:r>
      <w:r w:rsidR="00142342">
        <w:t>They also have varying student audiences, found at different institutions ranging from community colleges to four-year universities</w:t>
      </w:r>
      <w:r w:rsidR="00A93A74">
        <w:t>.</w:t>
      </w:r>
      <w:r w:rsidR="00142342">
        <w:t xml:space="preserve"> </w:t>
      </w:r>
      <w:r w:rsidR="00A93A74">
        <w:t>Across institutions,</w:t>
      </w:r>
      <w:r w:rsidR="00142342">
        <w:t xml:space="preserve"> differing budgetary allocations may affect the quality and quantity of available technology. Content may also differ between different </w:t>
      </w:r>
      <w:proofErr w:type="gramStart"/>
      <w:r w:rsidR="00142342">
        <w:t>majors</w:t>
      </w:r>
      <w:r w:rsidR="00A93A74">
        <w:t>;</w:t>
      </w:r>
      <w:proofErr w:type="gramEnd"/>
      <w:r w:rsidR="00A93A74">
        <w:t xml:space="preserve"> i.e., </w:t>
      </w:r>
      <w:r w:rsidR="00142342">
        <w:t xml:space="preserve">content may differ between statistics classes offered in a life sciences department vs. mathematics vs. business, etc.  </w:t>
      </w:r>
      <w:r w:rsidR="00A93A74">
        <w:t>A</w:t>
      </w:r>
      <w:r w:rsidR="0054013C">
        <w:t xml:space="preserve">llied health students could attend schools where they are required to take a statistics course offered in their own department, are allowed to take coursework in another department, or must take the service course offered by the mathematics </w:t>
      </w:r>
      <w:proofErr w:type="gramStart"/>
      <w:r w:rsidR="0054013C">
        <w:t>department</w:t>
      </w:r>
      <w:r w:rsidR="00A93A74">
        <w:t>, and</w:t>
      </w:r>
      <w:proofErr w:type="gramEnd"/>
      <w:r w:rsidR="00A93A74">
        <w:t xml:space="preserve"> may </w:t>
      </w:r>
      <w:r w:rsidR="00352395">
        <w:t xml:space="preserve">end up taking courses that </w:t>
      </w:r>
      <w:r w:rsidR="00A93A74">
        <w:t xml:space="preserve">have differing foci </w:t>
      </w:r>
      <w:r w:rsidR="00352395">
        <w:t>based up</w:t>
      </w:r>
      <w:r w:rsidR="00A93A74">
        <w:t>on literacy vs. application</w:t>
      </w:r>
      <w:r w:rsidR="0054013C">
        <w:t>.</w:t>
      </w:r>
      <w:r w:rsidR="004C2032">
        <w:t xml:space="preserve">  </w:t>
      </w:r>
      <w:r w:rsidR="00DF0931">
        <w:t xml:space="preserve">Even within each focus, it is likely that </w:t>
      </w:r>
      <w:r w:rsidR="008A47A1">
        <w:t>different instructors have different pedagogical strategies</w:t>
      </w:r>
      <w:r>
        <w:t>. However, t</w:t>
      </w:r>
      <w:r w:rsidR="008A47A1">
        <w:t>he</w:t>
      </w:r>
      <w:r>
        <w:t xml:space="preserve"> </w:t>
      </w:r>
      <w:proofErr w:type="gramStart"/>
      <w:r>
        <w:t>aforementioned</w:t>
      </w:r>
      <w:r w:rsidR="008A47A1">
        <w:t xml:space="preserve"> examples</w:t>
      </w:r>
      <w:proofErr w:type="gramEnd"/>
      <w:r w:rsidR="008A47A1">
        <w:t xml:space="preserve"> show that methods of instruction may be flexible while still conforming to the ASA GAISE guidelines for undergraduate student instruction (ASA, 2016).</w:t>
      </w:r>
      <w:r w:rsidR="00352395" w:rsidRPr="00352395">
        <w:t xml:space="preserve"> </w:t>
      </w:r>
      <w:r w:rsidR="00352395">
        <w:t xml:space="preserve"> </w:t>
      </w:r>
      <w:r w:rsidR="00352395">
        <w:t>It is also worthy to note that many of the strategies are not conceptually exclusive.</w:t>
      </w:r>
    </w:p>
    <w:p w14:paraId="3688E1C9" w14:textId="77777777" w:rsidR="00384F3E" w:rsidRDefault="00384F3E" w:rsidP="00D94492">
      <w:pPr>
        <w:spacing w:line="360" w:lineRule="auto"/>
      </w:pPr>
    </w:p>
    <w:p w14:paraId="4B52399E" w14:textId="5F4095F3" w:rsidR="00384F3E" w:rsidRPr="00BB2E9C" w:rsidRDefault="00384F3E" w:rsidP="00D94492">
      <w:pPr>
        <w:spacing w:line="360" w:lineRule="auto"/>
        <w:rPr>
          <w:b/>
          <w:bCs/>
        </w:rPr>
      </w:pPr>
      <w:r w:rsidRPr="00BB2E9C">
        <w:rPr>
          <w:b/>
          <w:bCs/>
        </w:rPr>
        <w:t>Random effect</w:t>
      </w:r>
      <w:r w:rsidR="006543F6">
        <w:rPr>
          <w:b/>
          <w:bCs/>
        </w:rPr>
        <w:t xml:space="preserve"> of the Student’</w:t>
      </w:r>
      <w:r w:rsidR="000B4C9B">
        <w:rPr>
          <w:b/>
          <w:bCs/>
        </w:rPr>
        <w:t>s</w:t>
      </w:r>
      <w:r w:rsidR="006543F6">
        <w:rPr>
          <w:b/>
          <w:bCs/>
        </w:rPr>
        <w:t xml:space="preserve"> Major</w:t>
      </w:r>
    </w:p>
    <w:p w14:paraId="4E0DAB8B" w14:textId="77777777" w:rsidR="00BB2E9C" w:rsidRDefault="00BB2E9C" w:rsidP="00D94492">
      <w:pPr>
        <w:spacing w:line="360" w:lineRule="auto"/>
      </w:pPr>
    </w:p>
    <w:p w14:paraId="2C79526B" w14:textId="5FC67109" w:rsidR="00384F3E" w:rsidRDefault="00384F3E" w:rsidP="00D94492">
      <w:pPr>
        <w:spacing w:line="360" w:lineRule="auto"/>
      </w:pPr>
      <w:r w:rsidRPr="00BA44CD">
        <w:t xml:space="preserve">Conditional pseudo </w:t>
      </w:r>
      <w:bookmarkStart w:id="12" w:name="_Hlk65753071"/>
      <w:r w:rsidRPr="00BA44CD">
        <w:t>R</w:t>
      </w:r>
      <w:r w:rsidRPr="00BA44CD">
        <w:rPr>
          <w:vertAlign w:val="superscript"/>
        </w:rPr>
        <w:t>2</w:t>
      </w:r>
      <w:bookmarkEnd w:id="12"/>
      <w:r w:rsidRPr="00BA44CD">
        <w:t xml:space="preserve"> describes the combined variance of the random and fixed effects explained about 7% of variance in success.  Hence the student’s major explained about 5% of the variation in success</w:t>
      </w:r>
      <w:r w:rsidR="004C73E6">
        <w:t xml:space="preserve"> (i.e., the difference between conditional and marginal pseudo </w:t>
      </w:r>
      <w:r w:rsidR="004C73E6" w:rsidRPr="00BA44CD">
        <w:t>R</w:t>
      </w:r>
      <w:r w:rsidR="004C73E6" w:rsidRPr="00BA44CD">
        <w:rPr>
          <w:vertAlign w:val="superscript"/>
        </w:rPr>
        <w:t>2</w:t>
      </w:r>
      <w:r w:rsidR="004C73E6">
        <w:rPr>
          <w:vertAlign w:val="superscript"/>
        </w:rPr>
        <w:t xml:space="preserve"> </w:t>
      </w:r>
      <w:r w:rsidR="004C73E6">
        <w:t>values</w:t>
      </w:r>
      <w:r w:rsidRPr="00BA44CD">
        <w:t xml:space="preserve">.  Note that there appeared to be a wide discrepancy between nursing and other majors; BSN had an approximate 1:14 ratio of unsuccessful to successful outcomes. This was followed respectively followed by BHCS (~1:6), pre-health care sciences (~1:5), pre-nursing (~1:4), and other majors (~1:3).  </w:t>
      </w:r>
      <w:r>
        <w:t>Certain u</w:t>
      </w:r>
      <w:r w:rsidRPr="00BA44CD">
        <w:t>ndergraduate health professions programs</w:t>
      </w:r>
      <w:r>
        <w:t xml:space="preserve"> (e.g., nursing)</w:t>
      </w:r>
      <w:r w:rsidRPr="00BA44CD">
        <w:t xml:space="preserve"> have a fundamental difference from undergraduate programs such as business and psychology.  Many undergraduate health professions prepare students for immediate certification and/or licensure after graduation to work in the field, and competition is fierce to fill spaces within these programs. Conversely, certification of practice, licensure, and competition for spaces are traits that are not as commonly found in undergraduate liberal arts, the natural sciences, or business.</w:t>
      </w:r>
    </w:p>
    <w:p w14:paraId="07B3CF35" w14:textId="77777777" w:rsidR="004C73E6" w:rsidRPr="00BA44CD" w:rsidRDefault="004C73E6" w:rsidP="00D94492">
      <w:pPr>
        <w:spacing w:line="360" w:lineRule="auto"/>
      </w:pPr>
    </w:p>
    <w:p w14:paraId="455B9B8D" w14:textId="31BB70A0" w:rsidR="00384F3E" w:rsidRPr="00BA44CD" w:rsidRDefault="00384F3E" w:rsidP="00D94492">
      <w:pPr>
        <w:spacing w:line="360" w:lineRule="auto"/>
      </w:pPr>
      <w:r w:rsidRPr="00BA44CD">
        <w:t>Student competition to fill and keep spaces in these programs, may serve as a potential external motivator for students to succeed, regardless of their demographic characteristics.  Hence students in the allied health professions, especially those</w:t>
      </w:r>
      <w:r w:rsidR="00352395">
        <w:t xml:space="preserve"> </w:t>
      </w:r>
      <w:r w:rsidRPr="00BA44CD">
        <w:t>competing for a limited number of spaces in a baccalaureate and professional degree program may differ in this regard from students in other areas</w:t>
      </w:r>
      <w:r>
        <w:t xml:space="preserve"> of study</w:t>
      </w:r>
      <w:r w:rsidRPr="00BA44CD">
        <w:t>.  As statistics is a potential gatekeeper course in many allied health baccalaureate &amp; professional programs, the drive to enter/complete these programs may serve to offset statistics anxiety while enrolled in statistics courses.</w:t>
      </w:r>
      <w:r>
        <w:t xml:space="preserve">  </w:t>
      </w:r>
      <w:r w:rsidR="006543F6">
        <w:t>Although not looked at</w:t>
      </w:r>
      <w:r w:rsidR="00352395">
        <w:t xml:space="preserve"> </w:t>
      </w:r>
      <w:r w:rsidR="006543F6">
        <w:t>present</w:t>
      </w:r>
      <w:r w:rsidR="00BE62A6">
        <w:t>ly</w:t>
      </w:r>
      <w:r w:rsidR="006543F6">
        <w:t>, t</w:t>
      </w:r>
      <w:r>
        <w:t>his hypothesis is open for further study as described below.</w:t>
      </w:r>
    </w:p>
    <w:p w14:paraId="4CEDD6DC" w14:textId="77777777" w:rsidR="00FF7537" w:rsidRDefault="00FF7537" w:rsidP="00D94492">
      <w:pPr>
        <w:spacing w:line="360" w:lineRule="auto"/>
        <w:rPr>
          <w:b/>
          <w:sz w:val="24"/>
        </w:rPr>
      </w:pPr>
    </w:p>
    <w:p w14:paraId="544D0BE5" w14:textId="3AAAFE62" w:rsidR="00182E82" w:rsidRPr="006E5717" w:rsidRDefault="00182E82" w:rsidP="00D94492">
      <w:pPr>
        <w:spacing w:line="360" w:lineRule="auto"/>
        <w:rPr>
          <w:b/>
          <w:sz w:val="24"/>
        </w:rPr>
      </w:pPr>
      <w:r w:rsidRPr="006E5717">
        <w:rPr>
          <w:b/>
          <w:sz w:val="24"/>
        </w:rPr>
        <w:t xml:space="preserve">Conclusion </w:t>
      </w:r>
    </w:p>
    <w:p w14:paraId="2ACE32CC" w14:textId="77777777" w:rsidR="00182E82" w:rsidRPr="006E5717" w:rsidRDefault="00182E82" w:rsidP="00D94492">
      <w:pPr>
        <w:spacing w:line="360" w:lineRule="auto"/>
      </w:pPr>
    </w:p>
    <w:p w14:paraId="0552D5CC" w14:textId="102F2B04" w:rsidR="00291938" w:rsidRDefault="00291938" w:rsidP="00D94492">
      <w:pPr>
        <w:spacing w:line="360" w:lineRule="auto"/>
      </w:pPr>
      <w:r w:rsidRPr="00BA44CD">
        <w:t xml:space="preserve">Non-Caucasian students had 0.6 times the odds of Caucasian students in passing a sophomore level statistics course geared toward allied health majors. Age, gender, and format did not predict success.  As a potential gatekeeper course, the use of multiple teaching methodologies to address statistics anxiety and poor attitudes </w:t>
      </w:r>
      <w:proofErr w:type="gramStart"/>
      <w:r w:rsidR="00D66AF6">
        <w:t xml:space="preserve">in order </w:t>
      </w:r>
      <w:r w:rsidRPr="00BA44CD">
        <w:t>to</w:t>
      </w:r>
      <w:proofErr w:type="gramEnd"/>
      <w:r w:rsidRPr="00BA44CD">
        <w:t xml:space="preserve"> maximize student success is crucial.</w:t>
      </w:r>
    </w:p>
    <w:p w14:paraId="12104568" w14:textId="77777777" w:rsidR="00182E82" w:rsidRPr="006E5717" w:rsidRDefault="00182E82" w:rsidP="00D94492">
      <w:pPr>
        <w:spacing w:line="360" w:lineRule="auto"/>
      </w:pPr>
    </w:p>
    <w:p w14:paraId="52BF7519" w14:textId="63020719" w:rsidR="00182E82" w:rsidRPr="006E5717" w:rsidRDefault="00BB3098" w:rsidP="00D94492">
      <w:pPr>
        <w:spacing w:line="360" w:lineRule="auto"/>
        <w:rPr>
          <w:b/>
        </w:rPr>
      </w:pPr>
      <w:r>
        <w:rPr>
          <w:b/>
          <w:sz w:val="24"/>
        </w:rPr>
        <w:t>Limitations and r</w:t>
      </w:r>
      <w:r w:rsidR="00182E82" w:rsidRPr="006E5717">
        <w:rPr>
          <w:b/>
          <w:sz w:val="24"/>
        </w:rPr>
        <w:t>ecommendations</w:t>
      </w:r>
      <w:r>
        <w:rPr>
          <w:b/>
          <w:sz w:val="24"/>
        </w:rPr>
        <w:t xml:space="preserve"> for future study</w:t>
      </w:r>
    </w:p>
    <w:p w14:paraId="15FC2011" w14:textId="77777777" w:rsidR="00182E82" w:rsidRPr="006E5717" w:rsidRDefault="00182E82" w:rsidP="00D94492">
      <w:pPr>
        <w:spacing w:line="360" w:lineRule="auto"/>
      </w:pPr>
    </w:p>
    <w:p w14:paraId="64E5BE29" w14:textId="5E42648C" w:rsidR="00BB3098" w:rsidRPr="00BA44CD" w:rsidRDefault="00BB3098" w:rsidP="00D94492">
      <w:pPr>
        <w:spacing w:line="360" w:lineRule="auto"/>
      </w:pPr>
      <w:r w:rsidRPr="00BA44CD">
        <w:t xml:space="preserve">A major limitation of this study is its retrospective nature.  Participants were not chosen at random, </w:t>
      </w:r>
      <w:r>
        <w:t>which could produce a possible biased outcome</w:t>
      </w:r>
      <w:r w:rsidRPr="00BA44CD">
        <w:t>. Moreover, this study included a heterogenous sample that contained health science students, nurses, and nursing prep students</w:t>
      </w:r>
      <w:r>
        <w:t xml:space="preserve"> from one school in the Southwestern United States.</w:t>
      </w:r>
      <w:r w:rsidRPr="00BA44CD">
        <w:t xml:space="preserve">  However, the students in this sample belonged to programs that were not large enough to require their own statistical courses, and were combined for </w:t>
      </w:r>
      <w:r>
        <w:t>pragmatic</w:t>
      </w:r>
      <w:r w:rsidRPr="00BA44CD">
        <w:t xml:space="preserve"> reasons</w:t>
      </w:r>
      <w:r>
        <w:t xml:space="preserve"> (i.e., budget, </w:t>
      </w:r>
      <w:r w:rsidR="00352395">
        <w:t xml:space="preserve">space allocations, </w:t>
      </w:r>
      <w:r>
        <w:t>etc.)</w:t>
      </w:r>
      <w:r w:rsidRPr="00BA44CD">
        <w:t xml:space="preserve">. Many of the students taking these classes often find themselves applying to competitive and vigorous programs that have a limited number of spaces (e.g., athletic training, nutrition, occupational therapy, physical therapy, etc.).  Hence the competition to enter or retain a space in these programs may serve as an external motivator that offsets anxiety and poor attitudes toward statistics.  </w:t>
      </w:r>
      <w:commentRangeStart w:id="13"/>
      <w:r w:rsidR="004C73E6">
        <w:t xml:space="preserve">Moreover, given the </w:t>
      </w:r>
      <w:proofErr w:type="gramStart"/>
      <w:r w:rsidR="004C73E6">
        <w:t>aforementioned discussions</w:t>
      </w:r>
      <w:proofErr w:type="gramEnd"/>
      <w:r w:rsidR="004C73E6">
        <w:t xml:space="preserve"> that the relationship of success with several of these variables is complex, further investigation </w:t>
      </w:r>
      <w:r w:rsidR="00352395">
        <w:t>using</w:t>
      </w:r>
      <w:r w:rsidR="004C73E6">
        <w:t xml:space="preserve"> different samples is warranted. </w:t>
      </w:r>
      <w:commentRangeEnd w:id="13"/>
      <w:r w:rsidR="00A40974">
        <w:rPr>
          <w:rStyle w:val="CommentReference"/>
        </w:rPr>
        <w:commentReference w:id="13"/>
      </w:r>
      <w:proofErr w:type="gramStart"/>
      <w:r w:rsidRPr="00BA44CD">
        <w:t>In order to</w:t>
      </w:r>
      <w:proofErr w:type="gramEnd"/>
      <w:r w:rsidRPr="00BA44CD">
        <w:t xml:space="preserve"> verify or refute these findings, this study should be replicated</w:t>
      </w:r>
      <w:r>
        <w:t xml:space="preserve"> with</w:t>
      </w:r>
      <w:r w:rsidRPr="00BA44CD">
        <w:t xml:space="preserve"> similar samples of pre-professional health science undergraduate classes found at other institutions.  </w:t>
      </w:r>
      <w:r>
        <w:t>Another limitation of this study is that because the Caucasian group was so much larger than the other groups, the latter were all collapsed into one group for analysis.  Although this was necessary, the loss of information in doing so</w:t>
      </w:r>
      <w:r w:rsidR="00287342">
        <w:t xml:space="preserve"> is acknowledged</w:t>
      </w:r>
      <w:r>
        <w:t xml:space="preserve">, as well as </w:t>
      </w:r>
      <w:r w:rsidR="00287342">
        <w:t xml:space="preserve">the subsequent </w:t>
      </w:r>
      <w:r>
        <w:t>effect upon the outcome.  Note the disparate ratios of successful to unsuccessful outcomes for race/ethnicity in Table 1.</w:t>
      </w:r>
    </w:p>
    <w:p w14:paraId="5D8B5EDD" w14:textId="77777777" w:rsidR="00BB3098" w:rsidRDefault="00BB3098" w:rsidP="00D94492">
      <w:pPr>
        <w:spacing w:line="360" w:lineRule="auto"/>
      </w:pPr>
    </w:p>
    <w:p w14:paraId="5CBD209B" w14:textId="358C49F5" w:rsidR="00BB3098" w:rsidRDefault="00BB3098" w:rsidP="00D94492">
      <w:pPr>
        <w:spacing w:line="360" w:lineRule="auto"/>
      </w:pPr>
      <w:r w:rsidRPr="00BA44CD">
        <w:t xml:space="preserve">Similarly, this study should be repeated with more homogenous samples from similar programs with students such as kinesiology, health studies, nutrition, and other programs with students that compete for professional graduate programs such as those found in pre-physical therapy programs.  </w:t>
      </w:r>
      <w:r>
        <w:t>I</w:t>
      </w:r>
      <w:r w:rsidRPr="00BA44CD">
        <w:t xml:space="preserve">t may be hypothesized that these populations of students also have poor attitudes </w:t>
      </w:r>
      <w:r>
        <w:t xml:space="preserve">and high anxiety </w:t>
      </w:r>
      <w:r w:rsidRPr="00BA44CD">
        <w:t>toward statistics</w:t>
      </w:r>
      <w:r>
        <w:t xml:space="preserve"> courses. T</w:t>
      </w:r>
      <w:r w:rsidRPr="00BA44CD">
        <w:t>hese constructs should also be further studied within these populations in order to add to the literature of student attitudes and anxiety in statistics across disciplines.</w:t>
      </w:r>
      <w:r w:rsidRPr="00CD6040">
        <w:t xml:space="preserve"> </w:t>
      </w:r>
      <w:r>
        <w:t xml:space="preserve">As aforementioned, undergraduate nursing programs differ from many other majors due to its more rigorous nature.  It may be worthwhile to do similar studies comparing statistics achievement of nursing students to those of a control group of students enrolled in less structured majors/programs.  Qualitative approaches may also be useful </w:t>
      </w:r>
      <w:proofErr w:type="gramStart"/>
      <w:r>
        <w:t>in order to</w:t>
      </w:r>
      <w:proofErr w:type="gramEnd"/>
      <w:r>
        <w:t xml:space="preserve"> shed further light on the nature of statistics anxiety in students of the health professions</w:t>
      </w:r>
      <w:r w:rsidR="00A40974">
        <w:t xml:space="preserve">. </w:t>
      </w:r>
      <w:r w:rsidR="00287342">
        <w:t xml:space="preserve"> </w:t>
      </w:r>
      <w:r w:rsidR="00A40974">
        <w:t>Examples may include</w:t>
      </w:r>
      <w:r w:rsidR="00287342">
        <w:t xml:space="preserve"> </w:t>
      </w:r>
      <w:r>
        <w:t>the use of interviews to ascertain the interaction between statistics anxiety and the drive to succeed</w:t>
      </w:r>
      <w:r w:rsidRPr="00521F81">
        <w:t xml:space="preserve"> </w:t>
      </w:r>
      <w:r>
        <w:t>in nursing and non-nursing students.</w:t>
      </w:r>
    </w:p>
    <w:p w14:paraId="46F73CD5" w14:textId="77777777" w:rsidR="00BB3098" w:rsidRDefault="00BB3098" w:rsidP="00D94492">
      <w:pPr>
        <w:spacing w:line="360" w:lineRule="auto"/>
      </w:pPr>
    </w:p>
    <w:p w14:paraId="5E98C1DC" w14:textId="46C321DF" w:rsidR="00BB3098" w:rsidRPr="00BA44CD" w:rsidRDefault="00BB3098" w:rsidP="00D94492">
      <w:pPr>
        <w:spacing w:line="360" w:lineRule="auto"/>
      </w:pPr>
      <w:r>
        <w:t>O</w:t>
      </w:r>
      <w:r w:rsidRPr="00BA44CD">
        <w:t xml:space="preserve">ther variables known to predict statistics performance, such as anxiety and mathematical aptitude (Lester 2016; Rochelle &amp; </w:t>
      </w:r>
      <w:proofErr w:type="spellStart"/>
      <w:r w:rsidRPr="00BA44CD">
        <w:t>Dotterweich</w:t>
      </w:r>
      <w:proofErr w:type="spellEnd"/>
      <w:r w:rsidRPr="00BA44CD">
        <w:t xml:space="preserve">, 2007) were not measured in this study.  </w:t>
      </w:r>
      <w:r>
        <w:t xml:space="preserve">For example, Lester (2016) reported that proficiency in algebra was associated with success in a psychological statistics course, whereas anxiety was not.  As this was a retrospective dataset, neither mathematical aptitude nor anxiety data were available for inclusion into this study.  </w:t>
      </w:r>
    </w:p>
    <w:p w14:paraId="15F87290" w14:textId="77777777" w:rsidR="00182E82" w:rsidRPr="006E5717" w:rsidRDefault="00182E82" w:rsidP="00D94492">
      <w:pPr>
        <w:spacing w:line="360" w:lineRule="auto"/>
      </w:pPr>
    </w:p>
    <w:p w14:paraId="774FB0E3" w14:textId="296013CB" w:rsidR="00182E82" w:rsidRPr="006E5717" w:rsidRDefault="00182E82" w:rsidP="00D94492">
      <w:pPr>
        <w:spacing w:line="360" w:lineRule="auto"/>
        <w:rPr>
          <w:b/>
          <w:sz w:val="24"/>
        </w:rPr>
      </w:pPr>
      <w:r w:rsidRPr="006E5717">
        <w:rPr>
          <w:b/>
          <w:sz w:val="24"/>
        </w:rPr>
        <w:lastRenderedPageBreak/>
        <w:t xml:space="preserve">Acknowledgements </w:t>
      </w:r>
    </w:p>
    <w:p w14:paraId="4741E59B" w14:textId="77777777" w:rsidR="00182E82" w:rsidRPr="006E5717" w:rsidRDefault="00182E82" w:rsidP="00D94492">
      <w:pPr>
        <w:spacing w:line="360" w:lineRule="auto"/>
      </w:pPr>
    </w:p>
    <w:p w14:paraId="67C604F7" w14:textId="1EFF28A3" w:rsidR="004C2032" w:rsidRDefault="00BB2E9C" w:rsidP="002F7005">
      <w:pPr>
        <w:spacing w:line="360" w:lineRule="auto"/>
      </w:pPr>
      <w:r>
        <w:t>The author would like to thank the student body from which the data were obtained, as well as the reviewers and editor for their time in reviewing this study.</w:t>
      </w:r>
    </w:p>
    <w:p w14:paraId="72793848" w14:textId="77777777" w:rsidR="004C2032" w:rsidRDefault="004C2032" w:rsidP="00D94492">
      <w:pPr>
        <w:spacing w:line="360" w:lineRule="auto"/>
      </w:pPr>
    </w:p>
    <w:p w14:paraId="721E76F5" w14:textId="7200D892" w:rsidR="00A93A74" w:rsidRDefault="00A93A74" w:rsidP="002F7005">
      <w:pPr>
        <w:spacing w:line="360" w:lineRule="auto"/>
        <w:ind w:hanging="706"/>
      </w:pPr>
    </w:p>
    <w:p w14:paraId="25814550" w14:textId="72EEBC1C" w:rsidR="00A93A74" w:rsidRDefault="00A93A74" w:rsidP="00D94492">
      <w:pPr>
        <w:spacing w:line="360" w:lineRule="auto"/>
        <w:ind w:hanging="706"/>
      </w:pPr>
    </w:p>
    <w:p w14:paraId="4BB3626D" w14:textId="67CD810D" w:rsidR="00A40974" w:rsidRDefault="00A40974" w:rsidP="00D94492">
      <w:pPr>
        <w:spacing w:line="360" w:lineRule="auto"/>
        <w:ind w:hanging="706"/>
      </w:pPr>
    </w:p>
    <w:p w14:paraId="51DCCB0E" w14:textId="67C20978" w:rsidR="00A40974" w:rsidRDefault="00A40974" w:rsidP="00D94492">
      <w:pPr>
        <w:spacing w:line="360" w:lineRule="auto"/>
        <w:ind w:hanging="706"/>
      </w:pPr>
    </w:p>
    <w:p w14:paraId="19F227FF" w14:textId="73B3D050" w:rsidR="00A40974" w:rsidRDefault="00A40974" w:rsidP="00D94492">
      <w:pPr>
        <w:spacing w:line="360" w:lineRule="auto"/>
        <w:ind w:hanging="706"/>
      </w:pPr>
    </w:p>
    <w:p w14:paraId="544B8732" w14:textId="614558C6" w:rsidR="00A40974" w:rsidRDefault="00A40974" w:rsidP="00D94492">
      <w:pPr>
        <w:spacing w:line="360" w:lineRule="auto"/>
        <w:ind w:hanging="706"/>
      </w:pPr>
    </w:p>
    <w:p w14:paraId="3C6B9F30" w14:textId="53077640" w:rsidR="00A40974" w:rsidRDefault="00A40974" w:rsidP="00D94492">
      <w:pPr>
        <w:spacing w:line="360" w:lineRule="auto"/>
        <w:ind w:hanging="706"/>
      </w:pPr>
    </w:p>
    <w:p w14:paraId="60506065" w14:textId="233977B7" w:rsidR="00A40974" w:rsidRDefault="00A40974" w:rsidP="00D94492">
      <w:pPr>
        <w:spacing w:line="360" w:lineRule="auto"/>
        <w:ind w:hanging="706"/>
      </w:pPr>
    </w:p>
    <w:p w14:paraId="6EB270AF" w14:textId="6B85ADAA" w:rsidR="00A40974" w:rsidRDefault="00A40974" w:rsidP="00D94492">
      <w:pPr>
        <w:spacing w:line="360" w:lineRule="auto"/>
        <w:ind w:hanging="706"/>
      </w:pPr>
    </w:p>
    <w:p w14:paraId="026452F7" w14:textId="03D3BA9B" w:rsidR="00A40974" w:rsidRDefault="00A40974" w:rsidP="00D94492">
      <w:pPr>
        <w:spacing w:line="360" w:lineRule="auto"/>
        <w:ind w:hanging="706"/>
      </w:pPr>
    </w:p>
    <w:p w14:paraId="6CAA8A46" w14:textId="23131C3D" w:rsidR="00A40974" w:rsidRDefault="00A40974" w:rsidP="00D94492">
      <w:pPr>
        <w:spacing w:line="360" w:lineRule="auto"/>
        <w:ind w:hanging="706"/>
      </w:pPr>
    </w:p>
    <w:p w14:paraId="2F2F1565" w14:textId="40F43E39" w:rsidR="00A40974" w:rsidRDefault="00A40974" w:rsidP="00D94492">
      <w:pPr>
        <w:spacing w:line="360" w:lineRule="auto"/>
        <w:ind w:hanging="706"/>
      </w:pPr>
    </w:p>
    <w:p w14:paraId="7503F7BB" w14:textId="5E8603B8" w:rsidR="00A40974" w:rsidRDefault="00A40974" w:rsidP="00D94492">
      <w:pPr>
        <w:spacing w:line="360" w:lineRule="auto"/>
        <w:ind w:hanging="706"/>
      </w:pPr>
    </w:p>
    <w:p w14:paraId="5649888D" w14:textId="0A8AE88F" w:rsidR="00A40974" w:rsidRDefault="00A40974" w:rsidP="00D94492">
      <w:pPr>
        <w:spacing w:line="360" w:lineRule="auto"/>
        <w:ind w:hanging="706"/>
      </w:pPr>
    </w:p>
    <w:p w14:paraId="0E085EF0" w14:textId="73CA53E5" w:rsidR="00A40974" w:rsidRDefault="00A40974" w:rsidP="00D94492">
      <w:pPr>
        <w:spacing w:line="360" w:lineRule="auto"/>
        <w:ind w:hanging="706"/>
      </w:pPr>
    </w:p>
    <w:p w14:paraId="34016DE8" w14:textId="476EC4B3" w:rsidR="00A40974" w:rsidRDefault="00A40974" w:rsidP="00D94492">
      <w:pPr>
        <w:spacing w:line="360" w:lineRule="auto"/>
        <w:ind w:hanging="706"/>
      </w:pPr>
    </w:p>
    <w:p w14:paraId="7F7CD6F9" w14:textId="4021DCE3" w:rsidR="00A40974" w:rsidRDefault="00A40974" w:rsidP="00D94492">
      <w:pPr>
        <w:spacing w:line="360" w:lineRule="auto"/>
        <w:ind w:hanging="706"/>
      </w:pPr>
    </w:p>
    <w:p w14:paraId="6E23B552" w14:textId="4F55FEB6" w:rsidR="00A40974" w:rsidRDefault="00A40974" w:rsidP="00D94492">
      <w:pPr>
        <w:spacing w:line="360" w:lineRule="auto"/>
        <w:ind w:hanging="706"/>
      </w:pPr>
    </w:p>
    <w:p w14:paraId="311963B6" w14:textId="585CE1A5" w:rsidR="00A40974" w:rsidRDefault="00A40974" w:rsidP="00D94492">
      <w:pPr>
        <w:spacing w:line="360" w:lineRule="auto"/>
        <w:ind w:hanging="706"/>
      </w:pPr>
    </w:p>
    <w:p w14:paraId="7E496DA0" w14:textId="5CDA08EE" w:rsidR="00A40974" w:rsidRDefault="00A40974" w:rsidP="00D94492">
      <w:pPr>
        <w:spacing w:line="360" w:lineRule="auto"/>
        <w:ind w:hanging="706"/>
      </w:pPr>
    </w:p>
    <w:p w14:paraId="33958D6B" w14:textId="35B88DA8" w:rsidR="00A40974" w:rsidRDefault="00A40974" w:rsidP="00D94492">
      <w:pPr>
        <w:spacing w:line="360" w:lineRule="auto"/>
        <w:ind w:hanging="706"/>
      </w:pPr>
    </w:p>
    <w:p w14:paraId="041F48F1" w14:textId="05EFF869" w:rsidR="00A40974" w:rsidRDefault="00A40974" w:rsidP="00D94492">
      <w:pPr>
        <w:spacing w:line="360" w:lineRule="auto"/>
        <w:ind w:hanging="706"/>
      </w:pPr>
    </w:p>
    <w:p w14:paraId="62197A22" w14:textId="7F059215" w:rsidR="00A40974" w:rsidRDefault="00A40974" w:rsidP="00D94492">
      <w:pPr>
        <w:spacing w:line="360" w:lineRule="auto"/>
        <w:ind w:hanging="706"/>
      </w:pPr>
    </w:p>
    <w:p w14:paraId="13C23C0C" w14:textId="7F3DD024" w:rsidR="00A40974" w:rsidRDefault="00A40974" w:rsidP="00D94492">
      <w:pPr>
        <w:spacing w:line="360" w:lineRule="auto"/>
        <w:ind w:hanging="706"/>
      </w:pPr>
    </w:p>
    <w:p w14:paraId="0166F1B0" w14:textId="6C877E7A" w:rsidR="00A40974" w:rsidRDefault="00A40974" w:rsidP="00D94492">
      <w:pPr>
        <w:spacing w:line="360" w:lineRule="auto"/>
        <w:ind w:hanging="706"/>
      </w:pPr>
    </w:p>
    <w:p w14:paraId="250C0130" w14:textId="443AA49E" w:rsidR="00A40974" w:rsidRDefault="00A40974" w:rsidP="00D94492">
      <w:pPr>
        <w:spacing w:line="360" w:lineRule="auto"/>
        <w:ind w:hanging="706"/>
      </w:pPr>
    </w:p>
    <w:p w14:paraId="18CA2116" w14:textId="7FCB7CCB" w:rsidR="00A40974" w:rsidRDefault="00A40974" w:rsidP="00D94492">
      <w:pPr>
        <w:spacing w:line="360" w:lineRule="auto"/>
        <w:ind w:hanging="706"/>
      </w:pPr>
    </w:p>
    <w:p w14:paraId="3C7F8091" w14:textId="77777777" w:rsidR="00A40974" w:rsidRPr="006E5717" w:rsidRDefault="00A40974" w:rsidP="00D94492">
      <w:pPr>
        <w:spacing w:line="360" w:lineRule="auto"/>
        <w:ind w:hanging="706"/>
      </w:pPr>
    </w:p>
    <w:p w14:paraId="1BCD628B" w14:textId="63916F27" w:rsidR="00182E82" w:rsidRPr="006E5717" w:rsidRDefault="00182E82" w:rsidP="00D94492">
      <w:pPr>
        <w:spacing w:line="360" w:lineRule="auto"/>
        <w:ind w:left="720" w:hanging="720"/>
        <w:rPr>
          <w:b/>
        </w:rPr>
      </w:pPr>
      <w:bookmarkStart w:id="14" w:name="_Hlk65753441"/>
      <w:r w:rsidRPr="006E5717">
        <w:rPr>
          <w:b/>
          <w:sz w:val="24"/>
        </w:rPr>
        <w:t>References</w:t>
      </w:r>
    </w:p>
    <w:p w14:paraId="4C34BF33" w14:textId="77777777" w:rsidR="00182E82" w:rsidRDefault="00182E82" w:rsidP="00D94492">
      <w:pPr>
        <w:spacing w:line="360" w:lineRule="auto"/>
        <w:ind w:left="720" w:hanging="720"/>
      </w:pPr>
    </w:p>
    <w:p w14:paraId="2F1CA95A" w14:textId="77777777" w:rsidR="007E6499" w:rsidRPr="00291487" w:rsidRDefault="007E6499" w:rsidP="00D94492">
      <w:pPr>
        <w:spacing w:line="360" w:lineRule="auto"/>
        <w:ind w:left="720" w:hanging="720"/>
      </w:pPr>
      <w:bookmarkStart w:id="15" w:name="_Hlk48661678"/>
      <w:r w:rsidRPr="00291487">
        <w:t>American Psychological Association (2020). Ethnic and racial disparities in education: psychology’s contributions to understanding and reducing disparities. Retrieved from</w:t>
      </w:r>
      <w:r>
        <w:t xml:space="preserve"> </w:t>
      </w:r>
      <w:hyperlink r:id="rId20" w:history="1">
        <w:r w:rsidRPr="00426F3F">
          <w:rPr>
            <w:rStyle w:val="Hyperlink"/>
          </w:rPr>
          <w:t>https://www.apa.org/ed/resources/racial-disparities</w:t>
        </w:r>
      </w:hyperlink>
    </w:p>
    <w:p w14:paraId="2BA9D822" w14:textId="29A8C693" w:rsidR="009F3017" w:rsidRDefault="009F3017" w:rsidP="00D94492">
      <w:pPr>
        <w:spacing w:line="360" w:lineRule="auto"/>
        <w:ind w:left="720" w:hanging="720"/>
      </w:pPr>
      <w:commentRangeStart w:id="16"/>
      <w:r>
        <w:t xml:space="preserve">American Statistical Association (2016). Guidelines for assessment and instruction in statistics education (GAISE) college report 2016.  Retrieved from: </w:t>
      </w:r>
      <w:commentRangeEnd w:id="16"/>
      <w:r>
        <w:rPr>
          <w:rStyle w:val="CommentReference"/>
        </w:rPr>
        <w:commentReference w:id="16"/>
      </w:r>
      <w:hyperlink r:id="rId21" w:history="1">
        <w:r w:rsidRPr="001A18E3">
          <w:rPr>
            <w:rStyle w:val="Hyperlink"/>
          </w:rPr>
          <w:t>https://www.amstat.org/asa/files/pdfs/GAISE/GaiseCo</w:t>
        </w:r>
        <w:r w:rsidRPr="001A18E3">
          <w:rPr>
            <w:rStyle w:val="Hyperlink"/>
          </w:rPr>
          <w:t>l</w:t>
        </w:r>
        <w:r w:rsidRPr="001A18E3">
          <w:rPr>
            <w:rStyle w:val="Hyperlink"/>
          </w:rPr>
          <w:t>lege_Full.pdf</w:t>
        </w:r>
      </w:hyperlink>
    </w:p>
    <w:p w14:paraId="4E6D6446" w14:textId="4B703B90" w:rsidR="00BB3098" w:rsidRDefault="00BB3098" w:rsidP="00D94492">
      <w:pPr>
        <w:spacing w:line="360" w:lineRule="auto"/>
        <w:ind w:left="720" w:hanging="720"/>
      </w:pPr>
      <w:r>
        <w:t xml:space="preserve">Anderson, B. (2020, January 9). </w:t>
      </w:r>
      <w:r w:rsidRPr="004F4FCB">
        <w:rPr>
          <w:i/>
          <w:iCs/>
        </w:rPr>
        <w:t>The most in-demand hard and soft skills of 2020.</w:t>
      </w:r>
      <w:r>
        <w:t xml:space="preserve">  Retrieved from </w:t>
      </w:r>
      <w:r w:rsidRPr="00A83573">
        <w:t>https://business.linkedin.com/talent-solutions/blog/trends-and-research/2020/most-in-demand-hard-and-soft-skills</w:t>
      </w:r>
    </w:p>
    <w:p w14:paraId="55AC9EFB" w14:textId="46E06850" w:rsidR="00BB3098" w:rsidRDefault="00BB3098" w:rsidP="00D94492">
      <w:pPr>
        <w:spacing w:line="360" w:lineRule="auto"/>
        <w:ind w:left="720" w:hanging="720"/>
      </w:pPr>
      <w:r>
        <w:t>Agga</w:t>
      </w:r>
      <w:r w:rsidR="00BB0D1D">
        <w:t>r</w:t>
      </w:r>
      <w:r>
        <w:t xml:space="preserve">wal, R. (2018). Statistical literacy for healthcare professionals: why is it important? </w:t>
      </w:r>
      <w:r w:rsidRPr="004F4FCB">
        <w:rPr>
          <w:i/>
          <w:iCs/>
        </w:rPr>
        <w:t xml:space="preserve">Annals of Cardiac </w:t>
      </w:r>
      <w:proofErr w:type="spellStart"/>
      <w:r w:rsidRPr="004F4FCB">
        <w:rPr>
          <w:i/>
          <w:iCs/>
        </w:rPr>
        <w:t>Anaesthesia</w:t>
      </w:r>
      <w:proofErr w:type="spellEnd"/>
      <w:r w:rsidRPr="004F4FCB">
        <w:rPr>
          <w:i/>
          <w:iCs/>
        </w:rPr>
        <w:t>, 21(</w:t>
      </w:r>
      <w:r>
        <w:t>4), 349-350.</w:t>
      </w:r>
    </w:p>
    <w:p w14:paraId="5A5BDCF2" w14:textId="77777777" w:rsidR="00BB3098" w:rsidRPr="00291487" w:rsidRDefault="00BB3098" w:rsidP="00D94492">
      <w:pPr>
        <w:spacing w:line="360" w:lineRule="auto"/>
        <w:ind w:left="720" w:hanging="720"/>
      </w:pPr>
      <w:r w:rsidRPr="00291487">
        <w:t xml:space="preserve">Barton, K. (2018). </w:t>
      </w:r>
      <w:r w:rsidRPr="00291487">
        <w:rPr>
          <w:i/>
        </w:rPr>
        <w:t xml:space="preserve">Package </w:t>
      </w:r>
      <w:proofErr w:type="spellStart"/>
      <w:r w:rsidRPr="00291487">
        <w:rPr>
          <w:i/>
        </w:rPr>
        <w:t>MuMIn</w:t>
      </w:r>
      <w:proofErr w:type="spellEnd"/>
      <w:r w:rsidRPr="00291487">
        <w:t xml:space="preserve">.  Retrieved from: </w:t>
      </w:r>
      <w:hyperlink r:id="rId22">
        <w:r w:rsidRPr="00291487">
          <w:rPr>
            <w:rStyle w:val="Hyperlink"/>
          </w:rPr>
          <w:t>https://cran.rproject.org/web/packages/MuMIn/MuMIn.pdf</w:t>
        </w:r>
      </w:hyperlink>
    </w:p>
    <w:p w14:paraId="113820FC" w14:textId="77777777" w:rsidR="00BB3098" w:rsidRPr="00291487" w:rsidRDefault="00BB3098" w:rsidP="00D94492">
      <w:pPr>
        <w:spacing w:line="360" w:lineRule="auto"/>
        <w:ind w:left="720" w:hanging="720"/>
      </w:pPr>
      <w:r w:rsidRPr="00291487">
        <w:t xml:space="preserve">Bates, D., </w:t>
      </w:r>
      <w:proofErr w:type="spellStart"/>
      <w:r w:rsidRPr="00291487">
        <w:t>Maechler</w:t>
      </w:r>
      <w:proofErr w:type="spellEnd"/>
      <w:r w:rsidRPr="00291487">
        <w:t xml:space="preserve">, M., </w:t>
      </w:r>
      <w:proofErr w:type="spellStart"/>
      <w:r w:rsidRPr="00291487">
        <w:t>Bolker</w:t>
      </w:r>
      <w:proofErr w:type="spellEnd"/>
      <w:r w:rsidRPr="00291487">
        <w:t xml:space="preserve">, B., &amp; Walker, S. (2015).  Fitting linear mixed-effects models using lme4. </w:t>
      </w:r>
      <w:r w:rsidRPr="00291487">
        <w:rPr>
          <w:i/>
        </w:rPr>
        <w:t>Journal of Statistical Software, 67</w:t>
      </w:r>
      <w:r w:rsidRPr="00291487">
        <w:t xml:space="preserve">(1), 1-48. </w:t>
      </w:r>
      <w:hyperlink r:id="rId23">
        <w:r w:rsidRPr="00291487">
          <w:rPr>
            <w:rStyle w:val="Hyperlink"/>
          </w:rPr>
          <w:t>doi:10.18637/</w:t>
        </w:r>
        <w:proofErr w:type="gramStart"/>
        <w:r w:rsidRPr="00291487">
          <w:rPr>
            <w:rStyle w:val="Hyperlink"/>
          </w:rPr>
          <w:t>jss.v067.i</w:t>
        </w:r>
        <w:proofErr w:type="gramEnd"/>
        <w:r w:rsidRPr="00291487">
          <w:rPr>
            <w:rStyle w:val="Hyperlink"/>
          </w:rPr>
          <w:t>01</w:t>
        </w:r>
      </w:hyperlink>
    </w:p>
    <w:p w14:paraId="31561AB2" w14:textId="77777777" w:rsidR="00BB3098" w:rsidRDefault="00BB3098" w:rsidP="00D94492">
      <w:pPr>
        <w:spacing w:line="360" w:lineRule="auto"/>
        <w:ind w:left="720" w:hanging="720"/>
      </w:pPr>
      <w:r w:rsidRPr="00CB165E">
        <w:lastRenderedPageBreak/>
        <w:t xml:space="preserve">Beasley, M. A., &amp; Fischer, M. J. (2012).  Why they leave: the impact of stereotype threat on the attrition of women and minorities from science, </w:t>
      </w:r>
      <w:proofErr w:type="gramStart"/>
      <w:r w:rsidRPr="00CB165E">
        <w:t>math</w:t>
      </w:r>
      <w:proofErr w:type="gramEnd"/>
      <w:r w:rsidRPr="00CB165E">
        <w:t xml:space="preserve"> and engineering majors.  </w:t>
      </w:r>
      <w:r w:rsidRPr="00CB165E">
        <w:rPr>
          <w:i/>
        </w:rPr>
        <w:t>Social Psychology of Education, 15</w:t>
      </w:r>
      <w:r w:rsidRPr="00CB165E">
        <w:t xml:space="preserve">(4), 427-448. </w:t>
      </w:r>
    </w:p>
    <w:p w14:paraId="4F4AEC84" w14:textId="77777777" w:rsidR="00BB3098" w:rsidRDefault="00BB3098" w:rsidP="00D94492">
      <w:pPr>
        <w:spacing w:line="360" w:lineRule="auto"/>
        <w:ind w:left="720" w:hanging="720"/>
      </w:pPr>
      <w:r w:rsidRPr="00291487">
        <w:t xml:space="preserve">Beck, T. (2013).  The importance of a priori sample size estimation in strength and conditioning research.  </w:t>
      </w:r>
      <w:r w:rsidRPr="00291487">
        <w:rPr>
          <w:i/>
          <w:iCs/>
        </w:rPr>
        <w:t>Journal of Strength and Conditioning Research, 27</w:t>
      </w:r>
      <w:r w:rsidRPr="00291487">
        <w:t>(8), 2323-2337.</w:t>
      </w:r>
    </w:p>
    <w:p w14:paraId="0860533B" w14:textId="77777777" w:rsidR="00BB3098" w:rsidRDefault="00BB3098" w:rsidP="00D94492">
      <w:pPr>
        <w:spacing w:line="360" w:lineRule="auto"/>
        <w:ind w:left="720" w:hanging="720"/>
      </w:pPr>
      <w:r>
        <w:t xml:space="preserve">Bowley, R.  (2018, January 11). </w:t>
      </w:r>
      <w:r w:rsidRPr="004F4FCB">
        <w:rPr>
          <w:i/>
          <w:iCs/>
        </w:rPr>
        <w:t>LinkedIn data reveals the most promising jobs and in-demand skills of 2018</w:t>
      </w:r>
      <w:r>
        <w:t xml:space="preserve">. Retrieved from </w:t>
      </w:r>
      <w:r w:rsidRPr="00A83573">
        <w:t>https://blog.linkedin.com/2018/january/11/linkedin-data-reveals-the-most-promising-jobs-and-in-demand-skills-2018</w:t>
      </w:r>
    </w:p>
    <w:p w14:paraId="7265B8A6" w14:textId="77777777" w:rsidR="00BB3098" w:rsidRDefault="00BB3098" w:rsidP="00D94492">
      <w:pPr>
        <w:spacing w:line="360" w:lineRule="auto"/>
        <w:ind w:left="720" w:hanging="720"/>
      </w:pPr>
      <w:r w:rsidRPr="007357B0">
        <w:t>Brown, T. L. (2000). Gender differences in African American students' satisfaction with college. </w:t>
      </w:r>
      <w:r w:rsidRPr="007357B0">
        <w:rPr>
          <w:i/>
          <w:iCs/>
        </w:rPr>
        <w:t>Journal of College Student Development, 41</w:t>
      </w:r>
      <w:r w:rsidRPr="007357B0">
        <w:t>(5), 479–487.</w:t>
      </w:r>
    </w:p>
    <w:p w14:paraId="6B8CDCE0" w14:textId="2A0EA499" w:rsidR="00101386" w:rsidRDefault="00101386" w:rsidP="00D94492">
      <w:pPr>
        <w:spacing w:line="360" w:lineRule="auto"/>
        <w:ind w:left="720" w:hanging="720"/>
      </w:pPr>
      <w:r>
        <w:t>Bulmer, M. (2010). Technologies for enhancing project assessment in large classes.</w:t>
      </w:r>
      <w:r w:rsidR="00D1200E">
        <w:t xml:space="preserve"> </w:t>
      </w:r>
      <w:r w:rsidR="00D1200E" w:rsidRPr="00D94492">
        <w:rPr>
          <w:i/>
          <w:iCs/>
        </w:rPr>
        <w:t xml:space="preserve">Proceedings of the </w:t>
      </w:r>
      <w:proofErr w:type="spellStart"/>
      <w:r w:rsidR="00D1200E" w:rsidRPr="00D94492">
        <w:rPr>
          <w:i/>
          <w:iCs/>
        </w:rPr>
        <w:t>Eigth</w:t>
      </w:r>
      <w:proofErr w:type="spellEnd"/>
      <w:r w:rsidR="00D1200E" w:rsidRPr="00D94492">
        <w:rPr>
          <w:i/>
          <w:iCs/>
        </w:rPr>
        <w:t xml:space="preserve"> International Conference on Teaching Statistics.</w:t>
      </w:r>
      <w:r w:rsidR="00D1200E">
        <w:t xml:space="preserve">  </w:t>
      </w:r>
      <w:proofErr w:type="spellStart"/>
      <w:r w:rsidR="00D1200E">
        <w:t>Ljublana</w:t>
      </w:r>
      <w:proofErr w:type="spellEnd"/>
      <w:r w:rsidR="00D1200E">
        <w:t>, Slovenia.</w:t>
      </w:r>
    </w:p>
    <w:p w14:paraId="4369BDAD" w14:textId="5DE31441" w:rsidR="00BB3098" w:rsidRDefault="00BB3098" w:rsidP="00D94492">
      <w:pPr>
        <w:spacing w:line="360" w:lineRule="auto"/>
        <w:ind w:left="720" w:hanging="720"/>
      </w:pPr>
      <w:r w:rsidRPr="0055597F">
        <w:t xml:space="preserve">Cohen, J. J., Gabriel, B. A., &amp; Terrell, C. (2002).  The case for diversity in the health care workforce. </w:t>
      </w:r>
      <w:r w:rsidRPr="0055597F">
        <w:rPr>
          <w:i/>
          <w:iCs/>
        </w:rPr>
        <w:t>Health Affairs, 21</w:t>
      </w:r>
      <w:r w:rsidRPr="0055597F">
        <w:t>(5), 90-102.</w:t>
      </w:r>
    </w:p>
    <w:p w14:paraId="4A9E7BF9" w14:textId="77777777" w:rsidR="00BB3098" w:rsidRPr="00291487" w:rsidRDefault="00BB3098" w:rsidP="00D94492">
      <w:pPr>
        <w:spacing w:line="360" w:lineRule="auto"/>
        <w:ind w:left="720" w:hanging="720"/>
      </w:pPr>
      <w:r w:rsidRPr="00291487">
        <w:t xml:space="preserve">Cruise, R. J., Cash, R. W., &amp; Bolton, D.L. (1985). </w:t>
      </w:r>
      <w:r w:rsidRPr="00291487">
        <w:rPr>
          <w:i/>
          <w:iCs/>
        </w:rPr>
        <w:t xml:space="preserve">Development and validation of an instrument to measure statistical anxiety. </w:t>
      </w:r>
      <w:r w:rsidRPr="00291487">
        <w:t xml:space="preserve"> Paper presented at the annual meeting of the Statistical Education Section, Chicago.</w:t>
      </w:r>
    </w:p>
    <w:p w14:paraId="3D06EF67" w14:textId="77777777" w:rsidR="00BB3098" w:rsidRDefault="00BB3098" w:rsidP="00D94492">
      <w:pPr>
        <w:spacing w:line="360" w:lineRule="auto"/>
        <w:ind w:left="720" w:hanging="720"/>
      </w:pPr>
      <w:r w:rsidRPr="00BF30A7">
        <w:t xml:space="preserve">Dawson, J., van de Meer, J., </w:t>
      </w:r>
      <w:proofErr w:type="spellStart"/>
      <w:r w:rsidRPr="00BF30A7">
        <w:t>Skalicky</w:t>
      </w:r>
      <w:proofErr w:type="spellEnd"/>
      <w:r w:rsidRPr="00BF30A7">
        <w:t>, J., &amp; Cowley, K. (2014). On the effectiveness of supplemental instruction</w:t>
      </w:r>
      <w:r>
        <w:t xml:space="preserve"> </w:t>
      </w:r>
      <w:r w:rsidRPr="00BF30A7">
        <w:t xml:space="preserve">and peer-assisted study sessions literature between 2001 and 2010. </w:t>
      </w:r>
      <w:r w:rsidRPr="00BF30A7">
        <w:rPr>
          <w:i/>
          <w:iCs/>
        </w:rPr>
        <w:t>Review of Educational Research 84,</w:t>
      </w:r>
      <w:r w:rsidRPr="00BF30A7">
        <w:t>609-639.</w:t>
      </w:r>
    </w:p>
    <w:p w14:paraId="4E1B0421" w14:textId="77777777" w:rsidR="00BB3098" w:rsidRPr="00291487" w:rsidRDefault="00BB3098" w:rsidP="00D94492">
      <w:pPr>
        <w:spacing w:line="360" w:lineRule="auto"/>
        <w:ind w:left="720" w:hanging="720"/>
      </w:pPr>
      <w:r w:rsidRPr="00291487">
        <w:t xml:space="preserve">Epstein I., Santa Mina, E., Gaudet, J., Singh, M. D., &amp; Gula, T. (2011). Teaching statistics to undergraduate nursing students: an integrative review to inform our pedagogy.  </w:t>
      </w:r>
      <w:r w:rsidRPr="00291487">
        <w:rPr>
          <w:i/>
          <w:iCs/>
        </w:rPr>
        <w:t>International Journal of Nursing Education Scholarship 8</w:t>
      </w:r>
      <w:r w:rsidRPr="00291487">
        <w:t>(1).</w:t>
      </w:r>
    </w:p>
    <w:p w14:paraId="7D7A4B4A" w14:textId="77777777" w:rsidR="00BB3098" w:rsidRPr="00291487" w:rsidRDefault="00BB3098" w:rsidP="00D94492">
      <w:pPr>
        <w:spacing w:line="360" w:lineRule="auto"/>
        <w:ind w:left="720" w:hanging="720"/>
      </w:pPr>
      <w:r w:rsidRPr="00291487">
        <w:t xml:space="preserve">Field, A., Miles, J., &amp; Field, Z. (2012). </w:t>
      </w:r>
      <w:r w:rsidRPr="00291487">
        <w:rPr>
          <w:i/>
        </w:rPr>
        <w:t>Discovering Statistics Using R.</w:t>
      </w:r>
      <w:r w:rsidRPr="00291487">
        <w:t xml:space="preserve">  Thousand Oaks, CA: Sage.</w:t>
      </w:r>
    </w:p>
    <w:p w14:paraId="57A745E6" w14:textId="77777777" w:rsidR="00BB3098" w:rsidRDefault="00BB3098" w:rsidP="00D94492">
      <w:pPr>
        <w:spacing w:line="360" w:lineRule="auto"/>
        <w:ind w:left="720" w:hanging="720"/>
      </w:pPr>
      <w:proofErr w:type="spellStart"/>
      <w:r>
        <w:t>Fradelos</w:t>
      </w:r>
      <w:proofErr w:type="spellEnd"/>
      <w:r>
        <w:t xml:space="preserve">, E. C., </w:t>
      </w:r>
      <w:proofErr w:type="spellStart"/>
      <w:r>
        <w:t>Papathanasiou</w:t>
      </w:r>
      <w:proofErr w:type="spellEnd"/>
      <w:r>
        <w:t xml:space="preserve">, I. V., Mitsi, D. </w:t>
      </w:r>
      <w:proofErr w:type="spellStart"/>
      <w:r>
        <w:t>Tsaras</w:t>
      </w:r>
      <w:proofErr w:type="spellEnd"/>
      <w:r>
        <w:t xml:space="preserve">, K., </w:t>
      </w:r>
      <w:proofErr w:type="spellStart"/>
      <w:r>
        <w:t>Kleisiaris</w:t>
      </w:r>
      <w:proofErr w:type="spellEnd"/>
      <w:r>
        <w:t xml:space="preserve">, C. F., &amp; Lambrini, K. (2014). Health based geographical information systems (GIS), and their applications.  </w:t>
      </w:r>
      <w:r w:rsidRPr="007C44DC">
        <w:rPr>
          <w:i/>
          <w:iCs/>
        </w:rPr>
        <w:t xml:space="preserve">Acta Informatica </w:t>
      </w:r>
      <w:r>
        <w:rPr>
          <w:i/>
          <w:iCs/>
        </w:rPr>
        <w:t>M</w:t>
      </w:r>
      <w:r w:rsidRPr="007C44DC">
        <w:rPr>
          <w:i/>
          <w:iCs/>
        </w:rPr>
        <w:t>edica 22</w:t>
      </w:r>
      <w:r>
        <w:t>(6), 402-405.</w:t>
      </w:r>
    </w:p>
    <w:p w14:paraId="473177AC" w14:textId="77777777" w:rsidR="00BB3098" w:rsidRPr="00291487" w:rsidRDefault="00BB3098" w:rsidP="00D94492">
      <w:pPr>
        <w:spacing w:line="360" w:lineRule="auto"/>
        <w:ind w:left="720" w:hanging="720"/>
      </w:pPr>
      <w:proofErr w:type="spellStart"/>
      <w:r w:rsidRPr="00291487">
        <w:t>Gorvine</w:t>
      </w:r>
      <w:proofErr w:type="spellEnd"/>
      <w:r w:rsidRPr="00291487">
        <w:t xml:space="preserve">, B. J. &amp; Smith, H. D. (2015).  Predicting student success in a psychological statistics course emphasizing collaborative learning. </w:t>
      </w:r>
      <w:r w:rsidRPr="00291487">
        <w:rPr>
          <w:i/>
          <w:iCs/>
        </w:rPr>
        <w:t>Teaching of Psychology 42</w:t>
      </w:r>
      <w:r w:rsidRPr="00291487">
        <w:t>(1), 56-59.</w:t>
      </w:r>
    </w:p>
    <w:p w14:paraId="4FC8E9A2" w14:textId="77777777" w:rsidR="00BB3098" w:rsidRPr="00291487" w:rsidRDefault="00BB3098" w:rsidP="00D94492">
      <w:pPr>
        <w:spacing w:line="360" w:lineRule="auto"/>
        <w:ind w:left="720" w:hanging="720"/>
      </w:pPr>
      <w:proofErr w:type="spellStart"/>
      <w:r w:rsidRPr="00291487">
        <w:t>Hanoch</w:t>
      </w:r>
      <w:proofErr w:type="spellEnd"/>
      <w:r w:rsidRPr="00291487">
        <w:t xml:space="preserve">, Y., &amp; </w:t>
      </w:r>
      <w:proofErr w:type="spellStart"/>
      <w:r w:rsidRPr="00291487">
        <w:t>Pachur</w:t>
      </w:r>
      <w:proofErr w:type="spellEnd"/>
      <w:r w:rsidRPr="00291487">
        <w:t xml:space="preserve">, T. (2004).  Nurses as information providers: facilitating understanding and communication of statistical information. </w:t>
      </w:r>
      <w:r w:rsidRPr="002D2970">
        <w:rPr>
          <w:i/>
          <w:iCs/>
        </w:rPr>
        <w:t>Nurse Education Today, 24</w:t>
      </w:r>
      <w:r>
        <w:t>, 236-243.</w:t>
      </w:r>
    </w:p>
    <w:p w14:paraId="69B7D81F" w14:textId="77777777" w:rsidR="00BB3098" w:rsidRDefault="00BB3098" w:rsidP="00D94492">
      <w:pPr>
        <w:spacing w:line="360" w:lineRule="auto"/>
        <w:ind w:left="720" w:hanging="720"/>
      </w:pPr>
      <w:r>
        <w:t xml:space="preserve">Hayat M. J., Powell A., Johnson T., </w:t>
      </w:r>
      <w:proofErr w:type="spellStart"/>
      <w:proofErr w:type="gramStart"/>
      <w:r>
        <w:t>Cadwell,B</w:t>
      </w:r>
      <w:proofErr w:type="spellEnd"/>
      <w:r>
        <w:t>.</w:t>
      </w:r>
      <w:proofErr w:type="gramEnd"/>
      <w:r>
        <w:t xml:space="preserve"> L. (2017) Statistical methods used in the public health literature and implications for training of public health professionals. </w:t>
      </w:r>
      <w:proofErr w:type="spellStart"/>
      <w:r w:rsidRPr="00446B9F">
        <w:rPr>
          <w:i/>
          <w:iCs/>
        </w:rPr>
        <w:t>PLoS</w:t>
      </w:r>
      <w:proofErr w:type="spellEnd"/>
      <w:r w:rsidRPr="00446B9F">
        <w:rPr>
          <w:i/>
          <w:iCs/>
        </w:rPr>
        <w:t xml:space="preserve"> ONE 12</w:t>
      </w:r>
      <w:r>
        <w:t>(6): e0179032. https://doi.org/10.1371/journal.pone.0179032</w:t>
      </w:r>
    </w:p>
    <w:p w14:paraId="4CEB0928" w14:textId="77777777" w:rsidR="00BB3098" w:rsidRPr="00291487" w:rsidRDefault="00BB3098" w:rsidP="00D94492">
      <w:pPr>
        <w:spacing w:line="360" w:lineRule="auto"/>
        <w:ind w:left="720" w:hanging="720"/>
      </w:pPr>
      <w:r w:rsidRPr="00291487">
        <w:t xml:space="preserve">Hopkins, W.G., Marshall, S. W., </w:t>
      </w:r>
      <w:proofErr w:type="spellStart"/>
      <w:r w:rsidRPr="00291487">
        <w:t>Batterham</w:t>
      </w:r>
      <w:proofErr w:type="spellEnd"/>
      <w:r w:rsidRPr="00291487">
        <w:t xml:space="preserve">, A. M., &amp; </w:t>
      </w:r>
      <w:proofErr w:type="spellStart"/>
      <w:r w:rsidRPr="00291487">
        <w:t>Hanin</w:t>
      </w:r>
      <w:proofErr w:type="spellEnd"/>
      <w:r w:rsidRPr="00291487">
        <w:t xml:space="preserve">, J. (2008). Progressive statistics for studies in sports medicine and exercise science. </w:t>
      </w:r>
      <w:r w:rsidRPr="00291487">
        <w:rPr>
          <w:i/>
          <w:iCs/>
        </w:rPr>
        <w:t>Medicine &amp; Science in Sports &amp; Exercise 41</w:t>
      </w:r>
      <w:r w:rsidRPr="00291487">
        <w:t>(1), 3-12.</w:t>
      </w:r>
    </w:p>
    <w:p w14:paraId="6FCB32F2" w14:textId="77777777" w:rsidR="00BB3098" w:rsidRPr="00BF30A7" w:rsidRDefault="00BB3098" w:rsidP="00D94492">
      <w:pPr>
        <w:spacing w:line="360" w:lineRule="auto"/>
        <w:ind w:left="720" w:hanging="720"/>
        <w:rPr>
          <w:i/>
          <w:iCs/>
        </w:rPr>
      </w:pPr>
      <w:r w:rsidRPr="00BF30A7">
        <w:t xml:space="preserve">Hurley, M., Jacobs, G., &amp; Gilbert, M. (2006). The basic SI </w:t>
      </w:r>
      <w:proofErr w:type="gramStart"/>
      <w:r w:rsidRPr="00BF30A7">
        <w:t>model</w:t>
      </w:r>
      <w:proofErr w:type="gramEnd"/>
      <w:r w:rsidRPr="00BF30A7">
        <w:t xml:space="preserve">. </w:t>
      </w:r>
      <w:r w:rsidRPr="00BF30A7">
        <w:rPr>
          <w:i/>
          <w:iCs/>
        </w:rPr>
        <w:t xml:space="preserve">New Directions for Teaching and Learning,106, </w:t>
      </w:r>
      <w:r w:rsidRPr="00BF30A7">
        <w:t>11-22.</w:t>
      </w:r>
    </w:p>
    <w:p w14:paraId="616E71F0" w14:textId="77777777" w:rsidR="00BB3098" w:rsidRDefault="00BB3098" w:rsidP="00D94492">
      <w:pPr>
        <w:spacing w:line="360" w:lineRule="auto"/>
        <w:ind w:left="720" w:hanging="720"/>
      </w:pPr>
      <w:proofErr w:type="spellStart"/>
      <w:r w:rsidRPr="00CB165E">
        <w:t>Inzlicht</w:t>
      </w:r>
      <w:proofErr w:type="spellEnd"/>
      <w:r w:rsidRPr="00CB165E">
        <w:t>, M., &amp; Ben-</w:t>
      </w:r>
      <w:proofErr w:type="spellStart"/>
      <w:r w:rsidRPr="00CB165E">
        <w:t>Zeev</w:t>
      </w:r>
      <w:proofErr w:type="spellEnd"/>
      <w:r w:rsidRPr="00CB165E">
        <w:t xml:space="preserve">, T. (2000).  A threatening intellectual environment: why females are susceptible to experiencing problem-solving deficits in the presence of males. </w:t>
      </w:r>
      <w:r w:rsidRPr="00CB165E">
        <w:rPr>
          <w:i/>
        </w:rPr>
        <w:t>Psychological Science, 11</w:t>
      </w:r>
      <w:r w:rsidRPr="00CB165E">
        <w:t>(5), 365-371.</w:t>
      </w:r>
    </w:p>
    <w:p w14:paraId="6515E01F" w14:textId="77777777" w:rsidR="00BB3098" w:rsidRPr="00737C86" w:rsidRDefault="00BB3098" w:rsidP="00D94492">
      <w:pPr>
        <w:spacing w:line="360" w:lineRule="auto"/>
        <w:ind w:left="720" w:hanging="720"/>
      </w:pPr>
      <w:r w:rsidRPr="00737C86">
        <w:lastRenderedPageBreak/>
        <w:t xml:space="preserve">Jaggars, S. S. (2014). Choosing between online and face-to-face courses: community college student voices. </w:t>
      </w:r>
      <w:r w:rsidRPr="00737C86">
        <w:rPr>
          <w:i/>
          <w:iCs/>
        </w:rPr>
        <w:t xml:space="preserve">Am. J. Dist. Educ. </w:t>
      </w:r>
      <w:r w:rsidRPr="00737C86">
        <w:t xml:space="preserve">28, 23–28. </w:t>
      </w:r>
      <w:proofErr w:type="spellStart"/>
      <w:r w:rsidRPr="00737C86">
        <w:t>doi</w:t>
      </w:r>
      <w:proofErr w:type="spellEnd"/>
      <w:r w:rsidRPr="00737C86">
        <w:t xml:space="preserve">: 10.1080/ 08923647.2014.867697 </w:t>
      </w:r>
    </w:p>
    <w:p w14:paraId="13440099" w14:textId="77777777" w:rsidR="00BB3098" w:rsidRDefault="00BB3098" w:rsidP="00D94492">
      <w:pPr>
        <w:spacing w:line="360" w:lineRule="auto"/>
        <w:ind w:left="720" w:hanging="720"/>
      </w:pPr>
      <w:r w:rsidRPr="00737C86">
        <w:t xml:space="preserve">Jaggars, S. S., Edgecombe, N., and Stacey, G. W. (2013). </w:t>
      </w:r>
      <w:r w:rsidRPr="00737C86">
        <w:rPr>
          <w:i/>
          <w:iCs/>
        </w:rPr>
        <w:t>What we know about online course outcomes</w:t>
      </w:r>
      <w:r w:rsidRPr="00737C86">
        <w:t xml:space="preserve">. NY: Community College Research Center. </w:t>
      </w:r>
    </w:p>
    <w:p w14:paraId="32D7A04F" w14:textId="77777777" w:rsidR="00BB3098" w:rsidRPr="00291487" w:rsidRDefault="00BB3098" w:rsidP="00D94492">
      <w:pPr>
        <w:spacing w:line="360" w:lineRule="auto"/>
        <w:ind w:left="720" w:hanging="720"/>
      </w:pPr>
      <w:r w:rsidRPr="00291487">
        <w:t xml:space="preserve">Kohli, A. S., Peng, C., Mittal, P. (2011). Predictors of student success in undergraduate business statistics course. </w:t>
      </w:r>
      <w:r w:rsidRPr="00291487">
        <w:rPr>
          <w:i/>
          <w:iCs/>
        </w:rPr>
        <w:t>Journal of Academy of Business and Economics, 11</w:t>
      </w:r>
      <w:r w:rsidRPr="00291487">
        <w:t>(4), 32-42.</w:t>
      </w:r>
    </w:p>
    <w:p w14:paraId="152DCF6B" w14:textId="77777777" w:rsidR="00BB3098" w:rsidRPr="00291487" w:rsidRDefault="00BB3098" w:rsidP="00D94492">
      <w:pPr>
        <w:spacing w:line="360" w:lineRule="auto"/>
        <w:ind w:left="720" w:hanging="720"/>
      </w:pPr>
      <w:r w:rsidRPr="00291487">
        <w:t xml:space="preserve">Lester, D. (2016). Predicting success in psychological statistics courses.  </w:t>
      </w:r>
      <w:r w:rsidRPr="00291487">
        <w:rPr>
          <w:i/>
          <w:iCs/>
        </w:rPr>
        <w:t>Psychological Reports, 118(3)</w:t>
      </w:r>
      <w:r w:rsidRPr="00291487">
        <w:t>, 772-777.</w:t>
      </w:r>
    </w:p>
    <w:p w14:paraId="197AF1BF" w14:textId="286F817A" w:rsidR="00BB3098" w:rsidRDefault="00BB3098" w:rsidP="00D94492">
      <w:pPr>
        <w:spacing w:line="360" w:lineRule="auto"/>
        <w:ind w:left="720" w:hanging="720"/>
      </w:pPr>
      <w:r>
        <w:t xml:space="preserve">Merriam-Webster, Incorporated (2020). </w:t>
      </w:r>
      <w:r w:rsidRPr="00657B0C">
        <w:rPr>
          <w:i/>
          <w:iCs/>
        </w:rPr>
        <w:t>Merriam-Webster Dictionary.</w:t>
      </w:r>
      <w:r>
        <w:t xml:space="preserve"> Retrieved from </w:t>
      </w:r>
      <w:hyperlink r:id="rId24" w:history="1">
        <w:r w:rsidRPr="00657B0C">
          <w:rPr>
            <w:color w:val="0000FF"/>
            <w:u w:val="single"/>
          </w:rPr>
          <w:t>https://www.merriam-webster.com/dictionary/statistics</w:t>
        </w:r>
      </w:hyperlink>
    </w:p>
    <w:p w14:paraId="1C98F6DE" w14:textId="74E04AEF" w:rsidR="00BB3098" w:rsidRDefault="00BB3098" w:rsidP="00D94492">
      <w:pPr>
        <w:spacing w:line="360" w:lineRule="auto"/>
        <w:ind w:left="720" w:hanging="720"/>
      </w:pPr>
      <w:r>
        <w:t xml:space="preserve">Miller, E. M. (2019). Promoting student success in statistics by tapping diverse cognitive abilities. </w:t>
      </w:r>
      <w:r w:rsidRPr="00387B2E">
        <w:rPr>
          <w:i/>
          <w:iCs/>
        </w:rPr>
        <w:t>Teaching of Psychology, 46</w:t>
      </w:r>
      <w:r>
        <w:t xml:space="preserve">(2), 140-145. </w:t>
      </w:r>
      <w:r w:rsidR="00D1200E">
        <w:t>d</w:t>
      </w:r>
      <w:r w:rsidRPr="00035DFA">
        <w:t>oi</w:t>
      </w:r>
      <w:r w:rsidR="00D1200E">
        <w:t>:</w:t>
      </w:r>
      <w:r w:rsidRPr="00035DFA">
        <w:t>10.1177/0098628319834198</w:t>
      </w:r>
    </w:p>
    <w:p w14:paraId="33436B41" w14:textId="6B03B874" w:rsidR="00BB3098" w:rsidRPr="00291487" w:rsidRDefault="00BB3098" w:rsidP="00D94492">
      <w:pPr>
        <w:spacing w:line="360" w:lineRule="auto"/>
        <w:ind w:left="720" w:hanging="720"/>
      </w:pPr>
      <w:proofErr w:type="spellStart"/>
      <w:r w:rsidRPr="00291487">
        <w:t>Mji</w:t>
      </w:r>
      <w:proofErr w:type="spellEnd"/>
      <w:r w:rsidR="00BB0D1D">
        <w:t>, A.</w:t>
      </w:r>
      <w:r w:rsidRPr="00291487">
        <w:t xml:space="preserve"> &amp; Onwuegbuzie</w:t>
      </w:r>
      <w:r w:rsidR="00BB0D1D">
        <w:t>, A. J.</w:t>
      </w:r>
      <w:r w:rsidRPr="00291487">
        <w:t xml:space="preserve"> (2004).  Evidence of score reliability and validity of the Statistical Anxiety Rating Scale among Technikon Students in South Africa.  </w:t>
      </w:r>
      <w:r w:rsidRPr="00291487">
        <w:rPr>
          <w:i/>
          <w:iCs/>
        </w:rPr>
        <w:t>Measurement and Evaluation in Counseling and Development, 36</w:t>
      </w:r>
      <w:r w:rsidRPr="00291487">
        <w:t xml:space="preserve">(4), 238-251. </w:t>
      </w:r>
      <w:proofErr w:type="spellStart"/>
      <w:r w:rsidRPr="00291487">
        <w:t>doi</w:t>
      </w:r>
      <w:proofErr w:type="spellEnd"/>
      <w:r>
        <w:t xml:space="preserve">: </w:t>
      </w:r>
      <w:r w:rsidRPr="00291487">
        <w:t>10.1080/07481756.2004.11909745</w:t>
      </w:r>
    </w:p>
    <w:p w14:paraId="3C7676D4" w14:textId="77777777" w:rsidR="00BB3098" w:rsidRDefault="00BB3098" w:rsidP="00D94492">
      <w:pPr>
        <w:spacing w:line="360" w:lineRule="auto"/>
        <w:ind w:left="720" w:hanging="720"/>
      </w:pPr>
      <w:r w:rsidRPr="0010579A">
        <w:t xml:space="preserve">Nicholls, G. M., &amp; Gaede, R. K. (2014).  </w:t>
      </w:r>
      <w:r w:rsidRPr="0010579A">
        <w:rPr>
          <w:i/>
          <w:iCs/>
        </w:rPr>
        <w:t>Exploring the effects of student course withdrawals on time to graduation</w:t>
      </w:r>
      <w:r w:rsidRPr="0010579A">
        <w:t>.  Paper presented at the 121</w:t>
      </w:r>
      <w:r w:rsidRPr="0010579A">
        <w:rPr>
          <w:vertAlign w:val="superscript"/>
        </w:rPr>
        <w:t>st</w:t>
      </w:r>
      <w:r w:rsidRPr="0010579A">
        <w:t xml:space="preserve"> ASEE Annual Conference and Exposition.  Retrieved from: https://www.asee.org/public/conferences/32/papers/9392/download.</w:t>
      </w:r>
    </w:p>
    <w:p w14:paraId="27B9712B" w14:textId="77777777" w:rsidR="00BB3098" w:rsidRPr="00291487" w:rsidRDefault="00BB3098" w:rsidP="00D94492">
      <w:pPr>
        <w:spacing w:line="360" w:lineRule="auto"/>
        <w:ind w:left="720" w:hanging="720"/>
        <w:rPr>
          <w:color w:val="0563C1" w:themeColor="hyperlink"/>
          <w:u w:val="single"/>
        </w:rPr>
      </w:pPr>
      <w:r w:rsidRPr="00291487">
        <w:t xml:space="preserve">R Core Team (2017).  </w:t>
      </w:r>
      <w:r w:rsidRPr="00291487">
        <w:rPr>
          <w:i/>
        </w:rPr>
        <w:t>R: A language and environment for statistical computing.</w:t>
      </w:r>
      <w:r w:rsidRPr="00291487">
        <w:t xml:space="preserve"> R Foundation for Statistical Computing, Vienna, Austria. Retrieved from </w:t>
      </w:r>
      <w:hyperlink r:id="rId25">
        <w:r w:rsidRPr="00291487">
          <w:rPr>
            <w:rStyle w:val="Hyperlink"/>
          </w:rPr>
          <w:t>https://www.R-project.org</w:t>
        </w:r>
      </w:hyperlink>
    </w:p>
    <w:p w14:paraId="10374369" w14:textId="77777777" w:rsidR="00BB3098" w:rsidRDefault="00BB3098" w:rsidP="00D94492">
      <w:pPr>
        <w:spacing w:line="360" w:lineRule="auto"/>
        <w:ind w:left="720" w:hanging="720"/>
      </w:pPr>
      <w:proofErr w:type="spellStart"/>
      <w:r>
        <w:t>Rajecki</w:t>
      </w:r>
      <w:proofErr w:type="spellEnd"/>
      <w:r>
        <w:t xml:space="preserve">, D. W., Appleby, D., Williams, C. C., Johnson, K., &amp; </w:t>
      </w:r>
      <w:proofErr w:type="spellStart"/>
      <w:r>
        <w:t>Jeschke</w:t>
      </w:r>
      <w:proofErr w:type="spellEnd"/>
      <w:r>
        <w:t xml:space="preserve">, M. P. (2005). Statistics can </w:t>
      </w:r>
      <w:proofErr w:type="gramStart"/>
      <w:r>
        <w:t>wait:</w:t>
      </w:r>
      <w:proofErr w:type="gramEnd"/>
      <w:r>
        <w:t xml:space="preserve"> career plans activity and course preferences of American psychology undergraduates.  </w:t>
      </w:r>
      <w:r w:rsidRPr="00740342">
        <w:rPr>
          <w:i/>
          <w:iCs/>
        </w:rPr>
        <w:t>Psychology Learning &amp; Teaching, 4</w:t>
      </w:r>
      <w:r>
        <w:t>(2), 83-89.</w:t>
      </w:r>
    </w:p>
    <w:p w14:paraId="3321BCE1" w14:textId="77777777" w:rsidR="00BB3098" w:rsidRDefault="00BB3098" w:rsidP="00D94492">
      <w:pPr>
        <w:spacing w:line="360" w:lineRule="auto"/>
        <w:ind w:left="720" w:hanging="720"/>
      </w:pPr>
      <w:proofErr w:type="spellStart"/>
      <w:r w:rsidRPr="00BD7153">
        <w:t>Revelle</w:t>
      </w:r>
      <w:proofErr w:type="spellEnd"/>
      <w:r w:rsidRPr="00BD7153">
        <w:t>, W. (2017). psych: procedures for personality and psychological research. Retrieved from https://CRAN.R-project.org/package=psych Version = 1.7.5.</w:t>
      </w:r>
    </w:p>
    <w:p w14:paraId="3057E43F" w14:textId="77777777" w:rsidR="00BB3098" w:rsidRPr="00291487" w:rsidRDefault="00BB3098" w:rsidP="00D94492">
      <w:pPr>
        <w:spacing w:line="360" w:lineRule="auto"/>
        <w:ind w:left="720" w:hanging="720"/>
      </w:pPr>
      <w:r w:rsidRPr="00291487">
        <w:t xml:space="preserve">Riemann, B. L., &amp; Lininger, M. (2015). Statistical primer for athletic trainers: the difference between statistical and clinical meaningfulness. </w:t>
      </w:r>
      <w:r w:rsidRPr="00291487">
        <w:rPr>
          <w:i/>
          <w:iCs/>
        </w:rPr>
        <w:t>Journal of Athletic Training, 50(12)</w:t>
      </w:r>
      <w:r w:rsidRPr="00291487">
        <w:t>, 1223-1225.</w:t>
      </w:r>
    </w:p>
    <w:p w14:paraId="36DC1CEE" w14:textId="77777777" w:rsidR="00BB3098" w:rsidRPr="00291487" w:rsidRDefault="00BB3098" w:rsidP="00D94492">
      <w:pPr>
        <w:spacing w:line="360" w:lineRule="auto"/>
        <w:ind w:left="720" w:hanging="720"/>
      </w:pPr>
      <w:r w:rsidRPr="00291487">
        <w:t xml:space="preserve">Rochelle, C. F., &amp; </w:t>
      </w:r>
      <w:proofErr w:type="spellStart"/>
      <w:r w:rsidRPr="00291487">
        <w:t>Dotterweich</w:t>
      </w:r>
      <w:proofErr w:type="spellEnd"/>
      <w:r w:rsidRPr="00291487">
        <w:t xml:space="preserve">, D. (2007).  Student success in business statistics. </w:t>
      </w:r>
      <w:r w:rsidRPr="009F2490">
        <w:rPr>
          <w:i/>
          <w:iCs/>
        </w:rPr>
        <w:t>Journal of Economics and Finance Education, 6</w:t>
      </w:r>
      <w:r w:rsidRPr="009F2490">
        <w:t>(1)</w:t>
      </w:r>
      <w:r w:rsidRPr="00291487">
        <w:t>, 19-24.</w:t>
      </w:r>
    </w:p>
    <w:p w14:paraId="354E9A59" w14:textId="5BA79D85" w:rsidR="00BB3098" w:rsidRPr="00291487" w:rsidRDefault="00BB3098" w:rsidP="00D94492">
      <w:pPr>
        <w:spacing w:line="360" w:lineRule="auto"/>
        <w:ind w:left="720" w:hanging="720"/>
      </w:pPr>
      <w:r w:rsidRPr="00291487">
        <w:t>Schram, C. S. (199</w:t>
      </w:r>
      <w:r w:rsidR="00704E3E">
        <w:t>6</w:t>
      </w:r>
      <w:r w:rsidRPr="00291487">
        <w:t xml:space="preserve">). A meta-analysis of gender differences in applied statistics achievement. </w:t>
      </w:r>
      <w:r w:rsidRPr="00291487">
        <w:rPr>
          <w:i/>
          <w:iCs/>
        </w:rPr>
        <w:t>Journal of Educational and Behavioral Statistics, 21</w:t>
      </w:r>
      <w:r w:rsidRPr="00291487">
        <w:t>(1), 55-70.</w:t>
      </w:r>
    </w:p>
    <w:p w14:paraId="2109087E" w14:textId="77777777" w:rsidR="00B27AAF" w:rsidRDefault="00B27AAF" w:rsidP="00D94492">
      <w:pPr>
        <w:spacing w:line="360" w:lineRule="auto"/>
        <w:ind w:left="720" w:hanging="720"/>
      </w:pPr>
      <w:r>
        <w:t xml:space="preserve">Schwab-McCoy, A. Teaching statistics in the health sciences: Life on an island: Using peer consulting in applied statistics courses. </w:t>
      </w:r>
      <w:r w:rsidRPr="009B1045">
        <w:rPr>
          <w:i/>
          <w:iCs/>
        </w:rPr>
        <w:t>CHANCE, 30</w:t>
      </w:r>
      <w:r>
        <w:t>(4), 67-72. doi:10.1080/09332480.2017.1406763</w:t>
      </w:r>
    </w:p>
    <w:p w14:paraId="2384118A" w14:textId="77777777" w:rsidR="00BB3098" w:rsidRPr="00291487" w:rsidRDefault="00BB3098" w:rsidP="00D94492">
      <w:pPr>
        <w:spacing w:line="360" w:lineRule="auto"/>
        <w:ind w:left="720" w:hanging="720"/>
      </w:pPr>
      <w:r w:rsidRPr="00291487">
        <w:t xml:space="preserve">Van Es, C. &amp; Weaver, M. M. (2018).  Race, </w:t>
      </w:r>
      <w:proofErr w:type="gramStart"/>
      <w:r w:rsidRPr="00291487">
        <w:t>sex</w:t>
      </w:r>
      <w:proofErr w:type="gramEnd"/>
      <w:r w:rsidRPr="00291487">
        <w:t xml:space="preserve"> and their influences on introductory statistics education.  </w:t>
      </w:r>
      <w:r w:rsidRPr="00291487">
        <w:rPr>
          <w:i/>
          <w:iCs/>
        </w:rPr>
        <w:t>Journal of Statistics Education, 26</w:t>
      </w:r>
      <w:r w:rsidRPr="00291487">
        <w:t xml:space="preserve">(1), 48-54. </w:t>
      </w:r>
      <w:proofErr w:type="spellStart"/>
      <w:r w:rsidRPr="00291487">
        <w:t>doi</w:t>
      </w:r>
      <w:proofErr w:type="spellEnd"/>
      <w:r>
        <w:t xml:space="preserve">: </w:t>
      </w:r>
      <w:r w:rsidRPr="00291487">
        <w:t>10.1080/10691898.2018.1434426</w:t>
      </w:r>
    </w:p>
    <w:p w14:paraId="1CA1A05E" w14:textId="77777777" w:rsidR="00BB3098" w:rsidRPr="00291487" w:rsidRDefault="00BB3098" w:rsidP="00D94492">
      <w:pPr>
        <w:spacing w:line="360" w:lineRule="auto"/>
        <w:ind w:left="720" w:hanging="720"/>
      </w:pPr>
      <w:r w:rsidRPr="00291487">
        <w:t>Vigil-Colet, A., Lorenzo-</w:t>
      </w:r>
      <w:proofErr w:type="spellStart"/>
      <w:r w:rsidRPr="00291487">
        <w:t>Seva</w:t>
      </w:r>
      <w:proofErr w:type="spellEnd"/>
      <w:r w:rsidRPr="00291487">
        <w:t xml:space="preserve">, U., &amp; Condon, L. (2008).  Development and validation of the Statistical Anxiety Scale.  </w:t>
      </w:r>
      <w:proofErr w:type="spellStart"/>
      <w:r w:rsidRPr="00291487">
        <w:rPr>
          <w:i/>
          <w:iCs/>
        </w:rPr>
        <w:t>Psicotherma</w:t>
      </w:r>
      <w:proofErr w:type="spellEnd"/>
      <w:r w:rsidRPr="00291487">
        <w:rPr>
          <w:i/>
          <w:iCs/>
        </w:rPr>
        <w:t>, 20</w:t>
      </w:r>
      <w:r w:rsidRPr="00291487">
        <w:t>(1), 174-180.</w:t>
      </w:r>
    </w:p>
    <w:p w14:paraId="7F9209B1" w14:textId="77777777" w:rsidR="00BB3098" w:rsidRDefault="00BB3098" w:rsidP="00D94492">
      <w:pPr>
        <w:spacing w:line="360" w:lineRule="auto"/>
        <w:ind w:left="720" w:hanging="720"/>
      </w:pPr>
      <w:proofErr w:type="spellStart"/>
      <w:r w:rsidRPr="00291487">
        <w:lastRenderedPageBreak/>
        <w:t>Wolfle</w:t>
      </w:r>
      <w:proofErr w:type="spellEnd"/>
      <w:r w:rsidRPr="00291487">
        <w:t xml:space="preserve">, J. D. (2012). Success and persistence of developmental mathematics students based on age and ethnicity. </w:t>
      </w:r>
      <w:r w:rsidRPr="00291487">
        <w:rPr>
          <w:i/>
          <w:iCs/>
        </w:rPr>
        <w:t xml:space="preserve"> Community College Enterprise, 18</w:t>
      </w:r>
      <w:r w:rsidRPr="00291487">
        <w:t>(2) 39-54</w:t>
      </w:r>
      <w:r>
        <w:t>.</w:t>
      </w:r>
    </w:p>
    <w:p w14:paraId="208AB973" w14:textId="77777777" w:rsidR="00BB3098" w:rsidRPr="00291487" w:rsidRDefault="00BB3098" w:rsidP="00D94492">
      <w:pPr>
        <w:spacing w:line="360" w:lineRule="auto"/>
        <w:ind w:left="720" w:hanging="720"/>
      </w:pPr>
      <w:r>
        <w:t xml:space="preserve">Yang, D. (2017). Instructional strategies and course design for teaching statistics online: perspectives from online students.  International Journal of STEM Education, 4(34). </w:t>
      </w:r>
      <w:proofErr w:type="spellStart"/>
      <w:r>
        <w:t>doi</w:t>
      </w:r>
      <w:proofErr w:type="spellEnd"/>
      <w:r>
        <w:t xml:space="preserve">: </w:t>
      </w:r>
      <w:r w:rsidRPr="00EF0540">
        <w:t>0.1186/s40594-017-0096-x</w:t>
      </w:r>
      <w:bookmarkEnd w:id="15"/>
    </w:p>
    <w:bookmarkEnd w:id="14"/>
    <w:p w14:paraId="69562B65" w14:textId="77777777" w:rsidR="00182E82" w:rsidRDefault="00182E82" w:rsidP="00182E82">
      <w:pPr>
        <w:rPr>
          <w:szCs w:val="20"/>
          <w:lang w:eastAsia="tr-TR"/>
        </w:rPr>
      </w:pPr>
    </w:p>
    <w:p w14:paraId="29CBC2A5" w14:textId="77777777" w:rsidR="00182E82" w:rsidRDefault="00182E82" w:rsidP="00182E82">
      <w:pPr>
        <w:rPr>
          <w:szCs w:val="20"/>
          <w:lang w:eastAsia="tr-TR"/>
        </w:rPr>
      </w:pPr>
    </w:p>
    <w:tbl>
      <w:tblPr>
        <w:tblW w:w="0" w:type="auto"/>
        <w:jc w:val="center"/>
        <w:tblLook w:val="04A0" w:firstRow="1" w:lastRow="0" w:firstColumn="1" w:lastColumn="0" w:noHBand="0" w:noVBand="1"/>
      </w:tblPr>
      <w:tblGrid>
        <w:gridCol w:w="4620"/>
        <w:gridCol w:w="4621"/>
      </w:tblGrid>
      <w:tr w:rsidR="00182E82" w:rsidRPr="00870B45" w14:paraId="0690FD96" w14:textId="77777777" w:rsidTr="00384F3E">
        <w:trPr>
          <w:jc w:val="center"/>
        </w:trPr>
        <w:tc>
          <w:tcPr>
            <w:tcW w:w="9241" w:type="dxa"/>
            <w:gridSpan w:val="2"/>
            <w:tcBorders>
              <w:top w:val="single" w:sz="4" w:space="0" w:color="auto"/>
              <w:bottom w:val="single" w:sz="4" w:space="0" w:color="auto"/>
            </w:tcBorders>
            <w:shd w:val="clear" w:color="auto" w:fill="auto"/>
          </w:tcPr>
          <w:p w14:paraId="08F6FE93" w14:textId="77777777" w:rsidR="00182E82" w:rsidRPr="00273D1A" w:rsidRDefault="00182E82" w:rsidP="00384F3E">
            <w:pPr>
              <w:tabs>
                <w:tab w:val="left" w:pos="5459"/>
              </w:tabs>
              <w:suppressAutoHyphens w:val="0"/>
              <w:autoSpaceDE w:val="0"/>
              <w:autoSpaceDN w:val="0"/>
              <w:adjustRightInd w:val="0"/>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182E82" w:rsidRPr="00BE1FB0" w14:paraId="6CE45D10" w14:textId="77777777" w:rsidTr="00384F3E">
        <w:trPr>
          <w:jc w:val="center"/>
        </w:trPr>
        <w:tc>
          <w:tcPr>
            <w:tcW w:w="4620" w:type="dxa"/>
            <w:tcBorders>
              <w:top w:val="single" w:sz="4" w:space="0" w:color="auto"/>
            </w:tcBorders>
            <w:shd w:val="clear" w:color="auto" w:fill="auto"/>
          </w:tcPr>
          <w:p w14:paraId="035D0F1B" w14:textId="37F02F07" w:rsidR="00182E82" w:rsidRPr="00BE1FB0" w:rsidRDefault="00FE3C60" w:rsidP="002C612C">
            <w:pPr>
              <w:suppressAutoHyphens w:val="0"/>
              <w:spacing w:line="360" w:lineRule="auto"/>
              <w:jc w:val="left"/>
              <w:rPr>
                <w:rFonts w:eastAsia="Times New Roman" w:cs="Times New Roman"/>
                <w:b/>
                <w:szCs w:val="20"/>
                <w:lang w:eastAsia="tr-TR"/>
              </w:rPr>
            </w:pPr>
            <w:r>
              <w:rPr>
                <w:rFonts w:eastAsia="Times New Roman" w:cs="Times New Roman"/>
                <w:b/>
                <w:szCs w:val="20"/>
                <w:lang w:eastAsia="tr-TR"/>
              </w:rPr>
              <w:t>Keston G. Lindsay, Ph.D.</w:t>
            </w:r>
            <w:r w:rsidR="00F003AB">
              <w:rPr>
                <w:rFonts w:eastAsia="Times New Roman" w:cs="Times New Roman"/>
                <w:b/>
                <w:szCs w:val="20"/>
                <w:lang w:eastAsia="tr-TR"/>
              </w:rPr>
              <w:t>, CSCS</w:t>
            </w:r>
          </w:p>
          <w:p w14:paraId="3E8647FA" w14:textId="1BE6F258" w:rsidR="002F7005" w:rsidRDefault="00D94492" w:rsidP="002C612C">
            <w:pPr>
              <w:suppressAutoHyphens w:val="0"/>
              <w:spacing w:line="360" w:lineRule="auto"/>
              <w:jc w:val="left"/>
              <w:rPr>
                <w:rFonts w:eastAsia="Times New Roman" w:cs="Times New Roman"/>
                <w:szCs w:val="20"/>
                <w:lang w:eastAsia="tr-TR"/>
              </w:rPr>
            </w:pPr>
            <w:hyperlink r:id="rId26" w:history="1">
              <w:r w:rsidRPr="00D94492">
                <w:rPr>
                  <w:rStyle w:val="Hyperlink"/>
                  <w:rFonts w:eastAsia="Times New Roman" w:cs="Times New Roman"/>
                  <w:szCs w:val="20"/>
                  <w:lang w:eastAsia="tr-TR"/>
                </w:rPr>
                <w:t>https://orcid.org/0000-0002-2039-7477</w:t>
              </w:r>
            </w:hyperlink>
          </w:p>
          <w:p w14:paraId="24192759" w14:textId="38FC34E7" w:rsidR="00182E82" w:rsidRPr="00BE1FB0" w:rsidRDefault="00FE3C60" w:rsidP="002C612C">
            <w:pPr>
              <w:suppressAutoHyphens w:val="0"/>
              <w:spacing w:line="360" w:lineRule="auto"/>
              <w:jc w:val="left"/>
              <w:rPr>
                <w:rFonts w:eastAsia="Times New Roman" w:cs="Times New Roman"/>
                <w:szCs w:val="20"/>
                <w:lang w:eastAsia="tr-TR"/>
              </w:rPr>
            </w:pPr>
            <w:r>
              <w:rPr>
                <w:rFonts w:eastAsia="Times New Roman" w:cs="Times New Roman"/>
                <w:szCs w:val="20"/>
                <w:lang w:eastAsia="tr-TR"/>
              </w:rPr>
              <w:t xml:space="preserve">University of Colorado </w:t>
            </w:r>
            <w:proofErr w:type="spellStart"/>
            <w:r>
              <w:rPr>
                <w:rFonts w:eastAsia="Times New Roman" w:cs="Times New Roman"/>
                <w:szCs w:val="20"/>
                <w:lang w:eastAsia="tr-TR"/>
              </w:rPr>
              <w:t>Colorado</w:t>
            </w:r>
            <w:proofErr w:type="spellEnd"/>
            <w:r>
              <w:rPr>
                <w:rFonts w:eastAsia="Times New Roman" w:cs="Times New Roman"/>
                <w:szCs w:val="20"/>
                <w:lang w:eastAsia="tr-TR"/>
              </w:rPr>
              <w:t xml:space="preserve"> Springs</w:t>
            </w:r>
          </w:p>
          <w:p w14:paraId="550B8927" w14:textId="7280B088" w:rsidR="00182E82" w:rsidRDefault="00FE3C60" w:rsidP="002C612C">
            <w:pPr>
              <w:suppressAutoHyphens w:val="0"/>
              <w:spacing w:line="360" w:lineRule="auto"/>
              <w:jc w:val="left"/>
              <w:rPr>
                <w:rFonts w:eastAsia="Times New Roman" w:cs="Times New Roman"/>
                <w:szCs w:val="20"/>
                <w:lang w:eastAsia="tr-TR"/>
              </w:rPr>
            </w:pPr>
            <w:r>
              <w:rPr>
                <w:rFonts w:eastAsia="Times New Roman" w:cs="Times New Roman"/>
                <w:szCs w:val="20"/>
                <w:lang w:eastAsia="tr-TR"/>
              </w:rPr>
              <w:t>1420 Austin Bluffs Parkway</w:t>
            </w:r>
          </w:p>
          <w:p w14:paraId="4E0156EE" w14:textId="4FEB867B" w:rsidR="00FE3C60" w:rsidRPr="00BE1FB0" w:rsidRDefault="00FE3C60" w:rsidP="002C612C">
            <w:pPr>
              <w:suppressAutoHyphens w:val="0"/>
              <w:spacing w:line="360" w:lineRule="auto"/>
              <w:jc w:val="left"/>
              <w:rPr>
                <w:rFonts w:eastAsia="Times New Roman" w:cs="Times New Roman"/>
                <w:szCs w:val="20"/>
                <w:lang w:eastAsia="tr-TR"/>
              </w:rPr>
            </w:pPr>
            <w:r>
              <w:rPr>
                <w:rFonts w:eastAsia="Times New Roman" w:cs="Times New Roman"/>
                <w:szCs w:val="20"/>
                <w:lang w:eastAsia="tr-TR"/>
              </w:rPr>
              <w:t>Colorado Springs, CO, 80918</w:t>
            </w:r>
          </w:p>
          <w:p w14:paraId="3699817F" w14:textId="14BF7F8D" w:rsidR="00182E82" w:rsidRPr="00BE1FB0" w:rsidRDefault="00182E82" w:rsidP="002C612C">
            <w:pPr>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00FE3C60">
              <w:rPr>
                <w:rFonts w:cs="Times New Roman"/>
                <w:i/>
                <w:szCs w:val="20"/>
              </w:rPr>
              <w:t>klindsay@uccs.edu</w:t>
            </w:r>
          </w:p>
        </w:tc>
        <w:tc>
          <w:tcPr>
            <w:tcW w:w="4621" w:type="dxa"/>
            <w:tcBorders>
              <w:top w:val="single" w:sz="4" w:space="0" w:color="auto"/>
            </w:tcBorders>
            <w:shd w:val="clear" w:color="auto" w:fill="auto"/>
          </w:tcPr>
          <w:p w14:paraId="1A1D30C3" w14:textId="77777777" w:rsidR="00182E82" w:rsidRPr="00BE1FB0" w:rsidRDefault="00182E82" w:rsidP="00384F3E">
            <w:pPr>
              <w:suppressAutoHyphens w:val="0"/>
              <w:jc w:val="left"/>
              <w:rPr>
                <w:rFonts w:eastAsia="Times New Roman" w:cs="Times New Roman"/>
                <w:b/>
                <w:szCs w:val="20"/>
                <w:lang w:eastAsia="tr-TR"/>
              </w:rPr>
            </w:pPr>
          </w:p>
        </w:tc>
      </w:tr>
      <w:tr w:rsidR="00F003AB" w:rsidRPr="00BE1FB0" w14:paraId="008ACB3C" w14:textId="77777777" w:rsidTr="00384F3E">
        <w:trPr>
          <w:jc w:val="center"/>
        </w:trPr>
        <w:tc>
          <w:tcPr>
            <w:tcW w:w="4620" w:type="dxa"/>
            <w:tcBorders>
              <w:bottom w:val="single" w:sz="4" w:space="0" w:color="auto"/>
            </w:tcBorders>
            <w:shd w:val="clear" w:color="auto" w:fill="auto"/>
          </w:tcPr>
          <w:p w14:paraId="049D8510" w14:textId="1ADE290D" w:rsidR="00F003AB" w:rsidRPr="00BE1FB0" w:rsidRDefault="00F003AB" w:rsidP="00384F3E">
            <w:pPr>
              <w:suppressAutoHyphens w:val="0"/>
              <w:jc w:val="left"/>
              <w:rPr>
                <w:rFonts w:eastAsia="Times New Roman" w:cs="Times New Roman"/>
                <w:szCs w:val="20"/>
                <w:lang w:eastAsia="tr-TR"/>
              </w:rPr>
            </w:pPr>
          </w:p>
        </w:tc>
        <w:tc>
          <w:tcPr>
            <w:tcW w:w="4621" w:type="dxa"/>
            <w:tcBorders>
              <w:bottom w:val="single" w:sz="4" w:space="0" w:color="auto"/>
            </w:tcBorders>
            <w:shd w:val="clear" w:color="auto" w:fill="auto"/>
          </w:tcPr>
          <w:p w14:paraId="09078520" w14:textId="6513EE21" w:rsidR="00F003AB" w:rsidRPr="00BE1FB0" w:rsidRDefault="00F003AB" w:rsidP="00384F3E">
            <w:pPr>
              <w:suppressAutoHyphens w:val="0"/>
              <w:jc w:val="left"/>
              <w:rPr>
                <w:rFonts w:eastAsia="Times New Roman" w:cs="Times New Roman"/>
                <w:szCs w:val="20"/>
                <w:lang w:eastAsia="tr-TR"/>
              </w:rPr>
            </w:pPr>
          </w:p>
        </w:tc>
      </w:tr>
    </w:tbl>
    <w:p w14:paraId="67A36F85" w14:textId="77777777" w:rsidR="00182E82" w:rsidRDefault="00182E82" w:rsidP="00182E82">
      <w:pPr>
        <w:ind w:left="709" w:hanging="709"/>
        <w:rPr>
          <w:szCs w:val="20"/>
          <w:lang w:eastAsia="tr-TR"/>
        </w:rPr>
      </w:pPr>
    </w:p>
    <w:p w14:paraId="03FA4066" w14:textId="77777777" w:rsidR="00182E82" w:rsidRDefault="00182E82" w:rsidP="00182E82"/>
    <w:p w14:paraId="32854A65" w14:textId="77777777" w:rsidR="00384F3E" w:rsidRDefault="00384F3E" w:rsidP="00182E82">
      <w:pPr>
        <w:jc w:val="center"/>
      </w:pPr>
    </w:p>
    <w:sectPr w:rsidR="00384F3E" w:rsidSect="00182E82">
      <w:headerReference w:type="first" r:id="rId27"/>
      <w:footerReference w:type="first" r:id="rId28"/>
      <w:footnotePr>
        <w:numFmt w:val="chicago"/>
      </w:footnotePr>
      <w:pgSz w:w="11905" w:h="16837" w:code="9"/>
      <w:pgMar w:top="1440" w:right="1440" w:bottom="1440" w:left="1440"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7BC1515" w14:textId="53C821B3" w:rsidR="00A40974" w:rsidRDefault="00A40974">
      <w:pPr>
        <w:pStyle w:val="CommentText"/>
      </w:pPr>
      <w:r>
        <w:rPr>
          <w:rStyle w:val="CommentReference"/>
        </w:rPr>
        <w:annotationRef/>
      </w:r>
      <w:r>
        <w:t>Reviewer 2 Comment 1 addressed.</w:t>
      </w:r>
    </w:p>
  </w:comment>
  <w:comment w:id="9" w:author="Author" w:initials="A">
    <w:p w14:paraId="44E5A1CC" w14:textId="3E519EE5" w:rsidR="00A40974" w:rsidRDefault="00A40974">
      <w:pPr>
        <w:pStyle w:val="CommentText"/>
      </w:pPr>
      <w:r>
        <w:rPr>
          <w:rStyle w:val="CommentReference"/>
        </w:rPr>
        <w:annotationRef/>
      </w:r>
      <w:r>
        <w:t>Reviewer 2 comment 4 addressed.</w:t>
      </w:r>
    </w:p>
  </w:comment>
  <w:comment w:id="10" w:author="Author" w:initials="A">
    <w:p w14:paraId="3FC1AD17" w14:textId="3E9BBFB6" w:rsidR="00A40974" w:rsidRDefault="00A40974">
      <w:pPr>
        <w:pStyle w:val="CommentText"/>
      </w:pPr>
      <w:r>
        <w:rPr>
          <w:rStyle w:val="CommentReference"/>
        </w:rPr>
        <w:annotationRef/>
      </w:r>
      <w:r>
        <w:t>Reviewer 2 comment 2 addressed</w:t>
      </w:r>
    </w:p>
  </w:comment>
  <w:comment w:id="11" w:author="Author" w:initials="A">
    <w:p w14:paraId="78166CA0" w14:textId="05771823" w:rsidR="00A40974" w:rsidRDefault="00A40974">
      <w:pPr>
        <w:pStyle w:val="CommentText"/>
      </w:pPr>
      <w:r>
        <w:rPr>
          <w:rStyle w:val="CommentReference"/>
        </w:rPr>
        <w:annotationRef/>
      </w:r>
      <w:r>
        <w:t>Reviewer 2 comment 3 addressed.</w:t>
      </w:r>
    </w:p>
  </w:comment>
  <w:comment w:id="13" w:author="Author" w:initials="A">
    <w:p w14:paraId="5C497AC6" w14:textId="3DAB1794" w:rsidR="00A40974" w:rsidRDefault="00A40974">
      <w:pPr>
        <w:pStyle w:val="CommentText"/>
      </w:pPr>
      <w:r>
        <w:rPr>
          <w:rStyle w:val="CommentReference"/>
        </w:rPr>
        <w:annotationRef/>
      </w:r>
      <w:r>
        <w:t xml:space="preserve">Reviewer 1 comment addressed; not sure if they were asking me to fix anything as I address the convenience sample </w:t>
      </w:r>
      <w:r>
        <w:t>early in this section.</w:t>
      </w:r>
    </w:p>
  </w:comment>
  <w:comment w:id="16" w:author="Author" w:initials="A">
    <w:p w14:paraId="6C774D67" w14:textId="281DE0FE" w:rsidR="0054013C" w:rsidRDefault="0054013C">
      <w:pPr>
        <w:pStyle w:val="CommentText"/>
      </w:pPr>
      <w:r>
        <w:rPr>
          <w:rStyle w:val="CommentReference"/>
        </w:rPr>
        <w:annotationRef/>
      </w:r>
      <w:r>
        <w:t>Check APA manual for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BC1515" w15:done="0"/>
  <w15:commentEx w15:paraId="44E5A1CC" w15:done="0"/>
  <w15:commentEx w15:paraId="3FC1AD17" w15:done="0"/>
  <w15:commentEx w15:paraId="78166CA0" w15:done="0"/>
  <w15:commentEx w15:paraId="5C497AC6" w15:done="0"/>
  <w15:commentEx w15:paraId="6C774D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BC1515" w16cid:durableId="23EB8831"/>
  <w16cid:commentId w16cid:paraId="44E5A1CC" w16cid:durableId="23EB8894"/>
  <w16cid:commentId w16cid:paraId="3FC1AD17" w16cid:durableId="23EB8851"/>
  <w16cid:commentId w16cid:paraId="78166CA0" w16cid:durableId="23EB8881"/>
  <w16cid:commentId w16cid:paraId="5C497AC6" w16cid:durableId="23EB88D4"/>
  <w16cid:commentId w16cid:paraId="6C774D67" w16cid:durableId="23E8D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2292A" w14:textId="77777777" w:rsidR="0054013C" w:rsidRDefault="0054013C" w:rsidP="00B53264">
      <w:r>
        <w:separator/>
      </w:r>
    </w:p>
  </w:endnote>
  <w:endnote w:type="continuationSeparator" w:id="0">
    <w:p w14:paraId="6178FFD5" w14:textId="77777777" w:rsidR="0054013C" w:rsidRDefault="0054013C"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36A5" w14:textId="77777777" w:rsidR="0054013C" w:rsidRDefault="00540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266919"/>
      <w:docPartObj>
        <w:docPartGallery w:val="Page Numbers (Bottom of Page)"/>
        <w:docPartUnique/>
      </w:docPartObj>
    </w:sdtPr>
    <w:sdtEndPr>
      <w:rPr>
        <w:b/>
        <w:szCs w:val="20"/>
      </w:rPr>
    </w:sdtEndPr>
    <w:sdtContent>
      <w:p w14:paraId="5ABBF26E" w14:textId="77777777" w:rsidR="0054013C" w:rsidRPr="00182E82" w:rsidRDefault="0054013C" w:rsidP="00182E82">
        <w:pPr>
          <w:pStyle w:val="Footer"/>
          <w:pBdr>
            <w:top w:val="single" w:sz="4" w:space="1" w:color="000000" w:themeColor="text1"/>
          </w:pBdr>
          <w:jc w:val="center"/>
          <w:rPr>
            <w:b/>
            <w:szCs w:val="20"/>
          </w:rPr>
        </w:pPr>
        <w:r w:rsidRPr="00182E82">
          <w:rPr>
            <w:b/>
            <w:szCs w:val="20"/>
          </w:rPr>
          <w:fldChar w:fldCharType="begin"/>
        </w:r>
        <w:r w:rsidRPr="00182E82">
          <w:rPr>
            <w:b/>
            <w:szCs w:val="20"/>
          </w:rPr>
          <w:instrText>PAGE   \* MERGEFORMAT</w:instrText>
        </w:r>
        <w:r w:rsidRPr="00182E82">
          <w:rPr>
            <w:b/>
            <w:szCs w:val="20"/>
          </w:rPr>
          <w:fldChar w:fldCharType="separate"/>
        </w:r>
        <w:r w:rsidRPr="00826913">
          <w:rPr>
            <w:b/>
            <w:noProof/>
            <w:szCs w:val="20"/>
            <w:lang w:val="tr-TR"/>
          </w:rPr>
          <w:t>5</w:t>
        </w:r>
        <w:r w:rsidRPr="00182E82">
          <w:rPr>
            <w:b/>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715CB" w14:textId="77777777" w:rsidR="0054013C" w:rsidRDefault="005401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868532"/>
      <w:docPartObj>
        <w:docPartGallery w:val="Page Numbers (Bottom of Page)"/>
        <w:docPartUnique/>
      </w:docPartObj>
    </w:sdtPr>
    <w:sdtEndPr>
      <w:rPr>
        <w:rFonts w:cs="Times New Roman"/>
        <w:b/>
        <w:szCs w:val="20"/>
      </w:rPr>
    </w:sdtEndPr>
    <w:sdtContent>
      <w:p w14:paraId="496CBED6" w14:textId="77777777" w:rsidR="0054013C" w:rsidRPr="007765AE" w:rsidRDefault="0054013C" w:rsidP="00384F3E">
        <w:pPr>
          <w:pStyle w:val="Footer"/>
          <w:pBdr>
            <w:top w:val="single" w:sz="4" w:space="1" w:color="auto"/>
          </w:pBdr>
          <w:tabs>
            <w:tab w:val="clear" w:pos="4536"/>
          </w:tabs>
          <w:jc w:val="center"/>
          <w:rPr>
            <w:rFonts w:cs="Times New Roman"/>
            <w:b/>
            <w:szCs w:val="20"/>
          </w:rPr>
        </w:pPr>
        <w:r w:rsidRPr="007765AE">
          <w:rPr>
            <w:rFonts w:cs="Times New Roman"/>
            <w:b/>
            <w:szCs w:val="20"/>
          </w:rPr>
          <w:fldChar w:fldCharType="begin"/>
        </w:r>
        <w:r w:rsidRPr="007765AE">
          <w:rPr>
            <w:rFonts w:cs="Times New Roman"/>
            <w:b/>
            <w:szCs w:val="20"/>
          </w:rPr>
          <w:instrText>PAGE   \* MERGEFORMAT</w:instrText>
        </w:r>
        <w:r w:rsidRPr="007765AE">
          <w:rPr>
            <w:rFonts w:cs="Times New Roman"/>
            <w:b/>
            <w:szCs w:val="20"/>
          </w:rPr>
          <w:fldChar w:fldCharType="separate"/>
        </w:r>
        <w:r w:rsidRPr="00826913">
          <w:rPr>
            <w:rFonts w:cs="Times New Roman"/>
            <w:b/>
            <w:noProof/>
            <w:szCs w:val="20"/>
            <w:lang w:val="tr-TR"/>
          </w:rPr>
          <w:t>1</w:t>
        </w:r>
        <w:r w:rsidRPr="007765AE">
          <w:rPr>
            <w:rFonts w:cs="Times New Roman"/>
            <w:b/>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B4E1B" w14:textId="77777777" w:rsidR="0054013C" w:rsidRDefault="0054013C" w:rsidP="00B53264">
      <w:r>
        <w:separator/>
      </w:r>
    </w:p>
  </w:footnote>
  <w:footnote w:type="continuationSeparator" w:id="0">
    <w:p w14:paraId="3D58664C" w14:textId="77777777" w:rsidR="0054013C" w:rsidRDefault="0054013C"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B3D3D" w14:textId="77777777" w:rsidR="0054013C" w:rsidRPr="00182E82" w:rsidRDefault="0054013C" w:rsidP="00182E82">
    <w:pPr>
      <w:pStyle w:val="Header"/>
      <w:pBdr>
        <w:bottom w:val="single" w:sz="4" w:space="1" w:color="000000" w:themeColor="text1"/>
      </w:pBdr>
      <w:jc w:val="center"/>
      <w:rPr>
        <w:b/>
      </w:rPr>
    </w:pPr>
    <w:r w:rsidRPr="00182E82">
      <w:rPr>
        <w:b/>
      </w:rPr>
      <w:t>International Journal of Research in Education and Science (IJRES)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E5E9" w14:textId="77777777" w:rsidR="0054013C" w:rsidRPr="00182E82" w:rsidRDefault="0054013C" w:rsidP="00182E82">
    <w:pPr>
      <w:pStyle w:val="Header"/>
      <w:pBdr>
        <w:bottom w:val="single" w:sz="4" w:space="1" w:color="000000" w:themeColor="text1"/>
      </w:pBdr>
      <w:jc w:val="center"/>
      <w:rPr>
        <w:b/>
      </w:rPr>
    </w:pPr>
    <w:r w:rsidRPr="00182E82">
      <w:rPr>
        <w:b/>
      </w:rPr>
      <w:t>International Journal of Research in Education and Science (IJRES)</w:t>
    </w:r>
  </w:p>
  <w:p w14:paraId="6847F8A1" w14:textId="77777777" w:rsidR="0054013C" w:rsidRPr="00526BEF" w:rsidRDefault="0054013C" w:rsidP="00182E82">
    <w:pPr>
      <w:pStyle w:val="stbilgi1"/>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A140E" w14:textId="77777777" w:rsidR="0054013C" w:rsidRDefault="0054013C" w:rsidP="00384F3E">
    <w:pPr>
      <w:pStyle w:val="stbilgi1"/>
    </w:pPr>
  </w:p>
  <w:p w14:paraId="6F403C9E" w14:textId="77777777" w:rsidR="0054013C" w:rsidRDefault="0054013C">
    <w:pPr>
      <w:pStyle w:val="stbilgi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2088"/>
      <w:gridCol w:w="3303"/>
      <w:gridCol w:w="3019"/>
    </w:tblGrid>
    <w:tr w:rsidR="0054013C" w14:paraId="0ED183A7" w14:textId="77777777" w:rsidTr="00182E82">
      <w:trPr>
        <w:jc w:val="center"/>
      </w:trPr>
      <w:tc>
        <w:tcPr>
          <w:tcW w:w="0" w:type="auto"/>
          <w:vMerge w:val="restart"/>
          <w:shd w:val="clear" w:color="auto" w:fill="auto"/>
        </w:tcPr>
        <w:p w14:paraId="2A47452A" w14:textId="77777777" w:rsidR="0054013C" w:rsidRPr="00D42275" w:rsidRDefault="0054013C" w:rsidP="00182E82">
          <w:pPr>
            <w:pStyle w:val="stbilgi1"/>
            <w:ind w:right="-131"/>
            <w:jc w:val="left"/>
            <w:rPr>
              <w:b/>
              <w:sz w:val="22"/>
            </w:rPr>
          </w:pPr>
          <w:r w:rsidRPr="00D42275">
            <w:rPr>
              <w:b/>
              <w:noProof/>
              <w:sz w:val="22"/>
              <w:lang w:val="tr-TR" w:eastAsia="tr-TR"/>
            </w:rPr>
            <w:drawing>
              <wp:anchor distT="0" distB="0" distL="114300" distR="114300" simplePos="0" relativeHeight="251659264" behindDoc="1" locked="0" layoutInCell="1" allowOverlap="1" wp14:anchorId="7332C533" wp14:editId="7DC422C5">
                <wp:simplePos x="0" y="0"/>
                <wp:positionH relativeFrom="margin">
                  <wp:posOffset>-63500</wp:posOffset>
                </wp:positionH>
                <wp:positionV relativeFrom="paragraph">
                  <wp:posOffset>83185</wp:posOffset>
                </wp:positionV>
                <wp:extent cx="1188720" cy="274320"/>
                <wp:effectExtent l="0" t="0" r="0" b="0"/>
                <wp:wrapThrough wrapText="bothSides">
                  <wp:wrapPolygon edited="0">
                    <wp:start x="0" y="0"/>
                    <wp:lineTo x="0" y="19500"/>
                    <wp:lineTo x="8654" y="19500"/>
                    <wp:lineTo x="21115" y="19500"/>
                    <wp:lineTo x="21115" y="0"/>
                    <wp:lineTo x="8654" y="0"/>
                    <wp:lineTo x="0" y="0"/>
                  </wp:wrapPolygon>
                </wp:wrapThrough>
                <wp:docPr id="10" name="Resim 10" descr="C:\Users\yasemin\Desktop\u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C:\Users\yasemin\Desktop\ust.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gridSpan w:val="2"/>
          <w:tcBorders>
            <w:bottom w:val="single" w:sz="24" w:space="0" w:color="0897AC"/>
          </w:tcBorders>
          <w:shd w:val="clear" w:color="auto" w:fill="auto"/>
        </w:tcPr>
        <w:p w14:paraId="0B351774" w14:textId="77777777" w:rsidR="0054013C" w:rsidRPr="001044F3" w:rsidRDefault="0054013C" w:rsidP="00182E82">
          <w:pPr>
            <w:ind w:left="-91"/>
            <w:jc w:val="center"/>
            <w:rPr>
              <w:b/>
              <w:spacing w:val="10"/>
              <w:sz w:val="22"/>
            </w:rPr>
          </w:pPr>
          <w:r w:rsidRPr="001044F3">
            <w:rPr>
              <w:b/>
              <w:spacing w:val="10"/>
              <w:sz w:val="22"/>
            </w:rPr>
            <w:t>International Journal of Research in Education and Science</w:t>
          </w:r>
        </w:p>
      </w:tc>
    </w:tr>
    <w:tr w:rsidR="0054013C" w:rsidRPr="00CB3B39" w14:paraId="43F6816A" w14:textId="77777777" w:rsidTr="00182E82">
      <w:trPr>
        <w:jc w:val="center"/>
      </w:trPr>
      <w:tc>
        <w:tcPr>
          <w:tcW w:w="0" w:type="auto"/>
          <w:vMerge/>
          <w:shd w:val="clear" w:color="auto" w:fill="auto"/>
        </w:tcPr>
        <w:p w14:paraId="16B44E39" w14:textId="77777777" w:rsidR="0054013C" w:rsidRDefault="0054013C" w:rsidP="00182E82">
          <w:pPr>
            <w:pStyle w:val="stbilgi1"/>
            <w:jc w:val="left"/>
          </w:pPr>
        </w:p>
      </w:tc>
      <w:tc>
        <w:tcPr>
          <w:tcW w:w="0" w:type="auto"/>
          <w:tcBorders>
            <w:top w:val="single" w:sz="24" w:space="0" w:color="0897AC"/>
          </w:tcBorders>
          <w:shd w:val="clear" w:color="auto" w:fill="auto"/>
        </w:tcPr>
        <w:p w14:paraId="1E29AF29" w14:textId="77777777" w:rsidR="0054013C" w:rsidRPr="001044F3" w:rsidRDefault="0054013C" w:rsidP="00182E82">
          <w:pPr>
            <w:pStyle w:val="stbilgi1"/>
            <w:ind w:left="-91"/>
            <w:jc w:val="left"/>
            <w:rPr>
              <w:spacing w:val="10"/>
            </w:rPr>
          </w:pPr>
          <w:r>
            <w:rPr>
              <w:rFonts w:cs="Times New Roman"/>
              <w:spacing w:val="10"/>
              <w:sz w:val="22"/>
            </w:rPr>
            <w:t xml:space="preserve">Volume </w:t>
          </w:r>
          <w:r w:rsidRPr="00182E82">
            <w:rPr>
              <w:rFonts w:cs="Times New Roman"/>
              <w:spacing w:val="10"/>
              <w:sz w:val="22"/>
              <w:highlight w:val="yellow"/>
            </w:rPr>
            <w:t>X</w:t>
          </w:r>
          <w:r>
            <w:rPr>
              <w:rFonts w:cs="Times New Roman"/>
              <w:spacing w:val="10"/>
              <w:sz w:val="22"/>
            </w:rPr>
            <w:t xml:space="preserve">, Issue </w:t>
          </w:r>
          <w:r w:rsidRPr="00182E82">
            <w:rPr>
              <w:rFonts w:cs="Times New Roman"/>
              <w:spacing w:val="10"/>
              <w:sz w:val="22"/>
              <w:highlight w:val="yellow"/>
            </w:rPr>
            <w:t>X</w:t>
          </w:r>
        </w:p>
      </w:tc>
      <w:tc>
        <w:tcPr>
          <w:tcW w:w="0" w:type="auto"/>
          <w:tcBorders>
            <w:top w:val="single" w:sz="24" w:space="0" w:color="0897AC"/>
          </w:tcBorders>
          <w:shd w:val="clear" w:color="auto" w:fill="auto"/>
        </w:tcPr>
        <w:p w14:paraId="40317230" w14:textId="77777777" w:rsidR="0054013C" w:rsidRPr="00EC51AC" w:rsidRDefault="0054013C" w:rsidP="00182E82">
          <w:pPr>
            <w:pStyle w:val="stbilgi1"/>
            <w:ind w:left="-91"/>
            <w:jc w:val="right"/>
            <w:rPr>
              <w:rFonts w:cs="Times New Roman"/>
              <w:color w:val="000000" w:themeColor="text1"/>
              <w:spacing w:val="10"/>
              <w:sz w:val="22"/>
            </w:rPr>
          </w:pPr>
          <w:r w:rsidRPr="00447DA6">
            <w:rPr>
              <w:rFonts w:cs="Times New Roman"/>
              <w:spacing w:val="10"/>
              <w:sz w:val="22"/>
            </w:rPr>
            <w:t>ISSN: 2148-9955</w:t>
          </w:r>
        </w:p>
      </w:tc>
    </w:tr>
  </w:tbl>
  <w:p w14:paraId="62CFA183" w14:textId="77777777" w:rsidR="0054013C" w:rsidRPr="00182E82" w:rsidRDefault="0054013C" w:rsidP="00182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08"/>
  <w:hyphenationZone w:val="425"/>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264"/>
    <w:rsid w:val="000641D3"/>
    <w:rsid w:val="000747C1"/>
    <w:rsid w:val="00081E9E"/>
    <w:rsid w:val="000B4C9B"/>
    <w:rsid w:val="000D34A4"/>
    <w:rsid w:val="00101386"/>
    <w:rsid w:val="00142342"/>
    <w:rsid w:val="001552C4"/>
    <w:rsid w:val="00157806"/>
    <w:rsid w:val="00166C12"/>
    <w:rsid w:val="00182E82"/>
    <w:rsid w:val="001905F6"/>
    <w:rsid w:val="001B6A76"/>
    <w:rsid w:val="001D7BCD"/>
    <w:rsid w:val="00211108"/>
    <w:rsid w:val="00257852"/>
    <w:rsid w:val="00287342"/>
    <w:rsid w:val="00291938"/>
    <w:rsid w:val="002B2118"/>
    <w:rsid w:val="002C612C"/>
    <w:rsid w:val="002D0657"/>
    <w:rsid w:val="002F7005"/>
    <w:rsid w:val="003112B7"/>
    <w:rsid w:val="003459AE"/>
    <w:rsid w:val="00350A9E"/>
    <w:rsid w:val="00352395"/>
    <w:rsid w:val="00355697"/>
    <w:rsid w:val="003604CB"/>
    <w:rsid w:val="00384F3E"/>
    <w:rsid w:val="00395629"/>
    <w:rsid w:val="003F1413"/>
    <w:rsid w:val="003F2DD4"/>
    <w:rsid w:val="00441EC3"/>
    <w:rsid w:val="00447DA6"/>
    <w:rsid w:val="00450227"/>
    <w:rsid w:val="00460DB5"/>
    <w:rsid w:val="004646BB"/>
    <w:rsid w:val="004A7B74"/>
    <w:rsid w:val="004B0316"/>
    <w:rsid w:val="004B7279"/>
    <w:rsid w:val="004C2032"/>
    <w:rsid w:val="004C73E6"/>
    <w:rsid w:val="004E6589"/>
    <w:rsid w:val="004F0A1C"/>
    <w:rsid w:val="004F208C"/>
    <w:rsid w:val="00531298"/>
    <w:rsid w:val="0054013C"/>
    <w:rsid w:val="0056201F"/>
    <w:rsid w:val="005667F3"/>
    <w:rsid w:val="0058347D"/>
    <w:rsid w:val="00594454"/>
    <w:rsid w:val="005A1152"/>
    <w:rsid w:val="005B0BDC"/>
    <w:rsid w:val="005B5915"/>
    <w:rsid w:val="005C3033"/>
    <w:rsid w:val="006539B9"/>
    <w:rsid w:val="006543F6"/>
    <w:rsid w:val="00661E38"/>
    <w:rsid w:val="006652C9"/>
    <w:rsid w:val="00686CF5"/>
    <w:rsid w:val="00692CAC"/>
    <w:rsid w:val="006B3068"/>
    <w:rsid w:val="006D1697"/>
    <w:rsid w:val="00704E3E"/>
    <w:rsid w:val="00744B0F"/>
    <w:rsid w:val="00776437"/>
    <w:rsid w:val="007B5319"/>
    <w:rsid w:val="007E6499"/>
    <w:rsid w:val="0080448C"/>
    <w:rsid w:val="00826913"/>
    <w:rsid w:val="008A47A1"/>
    <w:rsid w:val="00936D56"/>
    <w:rsid w:val="00990B96"/>
    <w:rsid w:val="009922BA"/>
    <w:rsid w:val="009A294D"/>
    <w:rsid w:val="009B6455"/>
    <w:rsid w:val="009F3017"/>
    <w:rsid w:val="009F5356"/>
    <w:rsid w:val="00A33BF6"/>
    <w:rsid w:val="00A40974"/>
    <w:rsid w:val="00A93A74"/>
    <w:rsid w:val="00B0536F"/>
    <w:rsid w:val="00B27AAF"/>
    <w:rsid w:val="00B378C9"/>
    <w:rsid w:val="00B53264"/>
    <w:rsid w:val="00B53669"/>
    <w:rsid w:val="00B607D5"/>
    <w:rsid w:val="00B6420E"/>
    <w:rsid w:val="00BB0D1D"/>
    <w:rsid w:val="00BB2E9C"/>
    <w:rsid w:val="00BB3098"/>
    <w:rsid w:val="00BB39AA"/>
    <w:rsid w:val="00BD0974"/>
    <w:rsid w:val="00BE62A6"/>
    <w:rsid w:val="00BE7180"/>
    <w:rsid w:val="00C10CE4"/>
    <w:rsid w:val="00C4627A"/>
    <w:rsid w:val="00C46592"/>
    <w:rsid w:val="00C5525E"/>
    <w:rsid w:val="00C7299E"/>
    <w:rsid w:val="00C809BF"/>
    <w:rsid w:val="00CD3E7A"/>
    <w:rsid w:val="00D1200E"/>
    <w:rsid w:val="00D66AF6"/>
    <w:rsid w:val="00D849D2"/>
    <w:rsid w:val="00D94492"/>
    <w:rsid w:val="00DF0931"/>
    <w:rsid w:val="00E14E45"/>
    <w:rsid w:val="00E664DF"/>
    <w:rsid w:val="00EC51AC"/>
    <w:rsid w:val="00EE5907"/>
    <w:rsid w:val="00EF4DEA"/>
    <w:rsid w:val="00EF7963"/>
    <w:rsid w:val="00F003AB"/>
    <w:rsid w:val="00F3249D"/>
    <w:rsid w:val="00FB460B"/>
    <w:rsid w:val="00FE3C60"/>
    <w:rsid w:val="00FF7537"/>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81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iPriority w:val="99"/>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paragraph" w:styleId="Header">
    <w:name w:val="header"/>
    <w:basedOn w:val="Normal"/>
    <w:link w:val="HeaderChar"/>
    <w:uiPriority w:val="99"/>
    <w:unhideWhenUsed/>
    <w:rsid w:val="00182E82"/>
    <w:pPr>
      <w:tabs>
        <w:tab w:val="center" w:pos="4536"/>
        <w:tab w:val="right" w:pos="9072"/>
      </w:tabs>
    </w:pPr>
  </w:style>
  <w:style w:type="character" w:customStyle="1" w:styleId="HeaderChar">
    <w:name w:val="Header Char"/>
    <w:basedOn w:val="DefaultParagraphFont"/>
    <w:link w:val="Header"/>
    <w:uiPriority w:val="99"/>
    <w:rsid w:val="00182E82"/>
    <w:rPr>
      <w:rFonts w:ascii="Times New Roman" w:eastAsia="Calibri" w:hAnsi="Times New Roman" w:cs="Calibri"/>
      <w:sz w:val="20"/>
      <w:lang w:val="en-US" w:eastAsia="ar-SA"/>
    </w:rPr>
  </w:style>
  <w:style w:type="table" w:styleId="TableGrid">
    <w:name w:val="Table Grid"/>
    <w:basedOn w:val="TableNormal"/>
    <w:uiPriority w:val="39"/>
    <w:unhideWhenUsed/>
    <w:rsid w:val="00291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1938"/>
    <w:rPr>
      <w:sz w:val="16"/>
      <w:szCs w:val="16"/>
    </w:rPr>
  </w:style>
  <w:style w:type="paragraph" w:styleId="CommentText">
    <w:name w:val="annotation text"/>
    <w:basedOn w:val="Normal"/>
    <w:link w:val="CommentTextChar"/>
    <w:uiPriority w:val="99"/>
    <w:semiHidden/>
    <w:unhideWhenUsed/>
    <w:rsid w:val="00291938"/>
    <w:rPr>
      <w:szCs w:val="20"/>
    </w:rPr>
  </w:style>
  <w:style w:type="character" w:customStyle="1" w:styleId="CommentTextChar">
    <w:name w:val="Comment Text Char"/>
    <w:basedOn w:val="DefaultParagraphFont"/>
    <w:link w:val="CommentText"/>
    <w:uiPriority w:val="99"/>
    <w:semiHidden/>
    <w:rsid w:val="00291938"/>
    <w:rPr>
      <w:rFonts w:ascii="Times New Roman" w:eastAsia="Calibri" w:hAnsi="Times New Roman" w:cs="Calibri"/>
      <w:sz w:val="20"/>
      <w:szCs w:val="20"/>
      <w:lang w:val="en-US" w:eastAsia="ar-SA"/>
    </w:rPr>
  </w:style>
  <w:style w:type="paragraph" w:styleId="CommentSubject">
    <w:name w:val="annotation subject"/>
    <w:basedOn w:val="CommentText"/>
    <w:next w:val="CommentText"/>
    <w:link w:val="CommentSubjectChar"/>
    <w:uiPriority w:val="99"/>
    <w:semiHidden/>
    <w:unhideWhenUsed/>
    <w:rsid w:val="00291938"/>
    <w:rPr>
      <w:b/>
      <w:bCs/>
    </w:rPr>
  </w:style>
  <w:style w:type="character" w:customStyle="1" w:styleId="CommentSubjectChar">
    <w:name w:val="Comment Subject Char"/>
    <w:basedOn w:val="CommentTextChar"/>
    <w:link w:val="CommentSubject"/>
    <w:uiPriority w:val="99"/>
    <w:semiHidden/>
    <w:rsid w:val="00291938"/>
    <w:rPr>
      <w:rFonts w:ascii="Times New Roman" w:eastAsia="Calibri" w:hAnsi="Times New Roman" w:cs="Calibri"/>
      <w:b/>
      <w:bCs/>
      <w:sz w:val="20"/>
      <w:szCs w:val="20"/>
      <w:lang w:val="en-US" w:eastAsia="ar-SA"/>
    </w:rPr>
  </w:style>
  <w:style w:type="character" w:styleId="UnresolvedMention">
    <w:name w:val="Unresolved Mention"/>
    <w:basedOn w:val="DefaultParagraphFont"/>
    <w:uiPriority w:val="99"/>
    <w:semiHidden/>
    <w:unhideWhenUsed/>
    <w:rsid w:val="00BE62A6"/>
    <w:rPr>
      <w:color w:val="605E5C"/>
      <w:shd w:val="clear" w:color="auto" w:fill="E1DFDD"/>
    </w:rPr>
  </w:style>
  <w:style w:type="character" w:styleId="FollowedHyperlink">
    <w:name w:val="FollowedHyperlink"/>
    <w:basedOn w:val="DefaultParagraphFont"/>
    <w:uiPriority w:val="99"/>
    <w:semiHidden/>
    <w:unhideWhenUsed/>
    <w:rsid w:val="00DF0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orcid.org/0000-0002-2039-7477" TargetMode="External"/><Relationship Id="rId3" Type="http://schemas.openxmlformats.org/officeDocument/2006/relationships/settings" Target="settings.xml"/><Relationship Id="rId21" Type="http://schemas.openxmlformats.org/officeDocument/2006/relationships/hyperlink" Target="https://www.amstat.org/asa/files/pdfs/GAISE/GaiseCollege_Full.pdf"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www.R-project.org/"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apa.org/ed/resources/racial-dispari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merriam-webster.com/dictionary/statistics"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doi.org/10.18637/jss.v067.i01" TargetMode="External"/><Relationship Id="rId28" Type="http://schemas.openxmlformats.org/officeDocument/2006/relationships/footer" Target="footer4.xml"/><Relationship Id="rId10" Type="http://schemas.openxmlformats.org/officeDocument/2006/relationships/hyperlink" Target="http://www.ijres.net"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s://cran.rproject.org/web/packages/MuMIn/MuMIn.pdf" TargetMode="External"/><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1927-189A-4FD2-BAAA-84AC5AA5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2021-03-04T21:28:00Z</dcterms:created>
  <dcterms:modified xsi:type="dcterms:W3CDTF">2021-03-04T23:33:00Z</dcterms:modified>
</cp:coreProperties>
</file>